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19" w:rsidRPr="00BF5ED3" w:rsidRDefault="00374719" w:rsidP="00374719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720E202" wp14:editId="338B38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374719" w:rsidRPr="00BF5ED3" w:rsidRDefault="00374719" w:rsidP="0037471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74719" w:rsidRPr="0031487B" w:rsidRDefault="00374719" w:rsidP="00374719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374719" w:rsidRPr="00BF5ED3" w:rsidRDefault="00374719" w:rsidP="0037471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</w:t>
      </w:r>
      <w:proofErr w:type="gramStart"/>
      <w:r w:rsidRPr="00BF5ED3">
        <w:rPr>
          <w:rFonts w:ascii="Times New Roman" w:eastAsia="標楷體" w:hAnsi="Times New Roman" w:cs="Times New Roman"/>
        </w:rPr>
        <w:t>:886</w:t>
      </w:r>
      <w:proofErr w:type="gramEnd"/>
      <w:r w:rsidRPr="00BF5ED3">
        <w:rPr>
          <w:rFonts w:ascii="Times New Roman" w:eastAsia="標楷體" w:hAnsi="Times New Roman" w:cs="Times New Roman"/>
        </w:rPr>
        <w:t>-3-316-4346   886-3-325-3781   FAX:886-3-355-9651</w:t>
      </w:r>
    </w:p>
    <w:p w:rsidR="00374719" w:rsidRPr="00BF5ED3" w:rsidRDefault="00374719" w:rsidP="0037471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6" w:history="1">
        <w:r w:rsidRPr="00BF5ED3">
          <w:rPr>
            <w:rFonts w:ascii="Times New Roman" w:eastAsia="標楷體" w:hAnsi="Times New Roman" w:cs="Times New Roman"/>
          </w:rPr>
          <w:t>ie325@ms19.hinet.net</w:t>
        </w:r>
      </w:hyperlink>
      <w:r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374719" w:rsidRPr="00BF5ED3" w:rsidRDefault="00374719" w:rsidP="00374719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374719" w:rsidRPr="00BF5ED3" w:rsidRDefault="00374719" w:rsidP="0037471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374719" w:rsidRPr="00BF5ED3" w:rsidRDefault="00374719" w:rsidP="00374719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374719" w:rsidRPr="00BF5ED3" w:rsidRDefault="00374719" w:rsidP="0037471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74719" w:rsidRDefault="00374719" w:rsidP="0037471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1074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374719" w:rsidRDefault="00374719" w:rsidP="0037471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74719" w:rsidRPr="00BF5ED3" w:rsidRDefault="00374719" w:rsidP="00374719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74719" w:rsidRPr="00BF5ED3" w:rsidRDefault="00374719" w:rsidP="00374719">
      <w:pPr>
        <w:autoSpaceDE w:val="0"/>
        <w:autoSpaceDN w:val="0"/>
        <w:adjustRightInd w:val="0"/>
        <w:snapToGrid w:val="0"/>
        <w:spacing w:line="44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財團法人食品工業發展研究所執行衛生福利部食品藥物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管理屬委辦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計畫，訂於</w:t>
      </w:r>
      <w:r>
        <w:rPr>
          <w:rFonts w:ascii="Times New Roman" w:eastAsia="標楷體" w:hAnsi="Times New Roman" w:cs="Times New Roman" w:hint="eastAsia"/>
          <w:sz w:val="32"/>
          <w:szCs w:val="32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24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標楷體" w:eastAsia="標楷體" w:hAnsi="標楷體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29</w:t>
      </w:r>
      <w:r>
        <w:rPr>
          <w:rFonts w:ascii="Times New Roman" w:eastAsia="標楷體" w:hAnsi="Times New Roman" w:cs="Times New Roman" w:hint="eastAsia"/>
          <w:sz w:val="32"/>
          <w:szCs w:val="32"/>
        </w:rPr>
        <w:t>日及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日辦理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年度健康食品標示法規說明會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napToGrid w:val="0"/>
          <w:color w:val="000000" w:themeColor="text1"/>
          <w:sz w:val="32"/>
          <w:szCs w:val="32"/>
        </w:rPr>
        <w:t xml:space="preserve"> 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</w:t>
      </w:r>
      <w:r>
        <w:rPr>
          <w:rFonts w:ascii="Times New Roman" w:eastAsia="標楷體" w:hAnsi="Times New Roman" w:cs="Times New Roman" w:hint="eastAsia"/>
          <w:snapToGrid w:val="0"/>
          <w:color w:val="000000" w:themeColor="text1"/>
          <w:sz w:val="32"/>
          <w:szCs w:val="32"/>
        </w:rPr>
        <w:t>各相關會員報名參加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。</w:t>
      </w:r>
    </w:p>
    <w:p w:rsidR="00374719" w:rsidRPr="00BF5ED3" w:rsidRDefault="00374719" w:rsidP="00374719">
      <w:pPr>
        <w:autoSpaceDE w:val="0"/>
        <w:autoSpaceDN w:val="0"/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74719" w:rsidRPr="001727CD" w:rsidRDefault="00374719" w:rsidP="00374719">
      <w:pPr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財團法人食品工業發展研究所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研企字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10002333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74719" w:rsidRDefault="00374719" w:rsidP="00374719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檢附說明會議程及交通資訊。</w:t>
      </w:r>
    </w:p>
    <w:p w:rsidR="00374719" w:rsidRPr="00A70FDD" w:rsidRDefault="00374719" w:rsidP="00374719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因場地座位有限，請事先報名，</w:t>
      </w:r>
      <w:r w:rsidRPr="00A70FDD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恕不接受現場報名。</w:t>
      </w:r>
    </w:p>
    <w:p w:rsidR="00374719" w:rsidRPr="00D42AF4" w:rsidRDefault="00374719" w:rsidP="00374719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洽詢窗口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財團法人食品工業發展研究所企劃室小姐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03-52223191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分機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297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374719" w:rsidRDefault="00374719" w:rsidP="00374719">
      <w:pPr>
        <w:spacing w:line="360" w:lineRule="exact"/>
      </w:pPr>
    </w:p>
    <w:p w:rsidR="00374719" w:rsidRDefault="00374719" w:rsidP="00374719">
      <w:pPr>
        <w:spacing w:line="360" w:lineRule="exact"/>
      </w:pPr>
    </w:p>
    <w:p w:rsidR="00374719" w:rsidRDefault="00374719" w:rsidP="00374719">
      <w:pPr>
        <w:spacing w:line="360" w:lineRule="exact"/>
      </w:pPr>
    </w:p>
    <w:p w:rsidR="00374719" w:rsidRDefault="00374719" w:rsidP="00374719">
      <w:pPr>
        <w:spacing w:line="360" w:lineRule="exact"/>
      </w:pPr>
    </w:p>
    <w:p w:rsidR="00374719" w:rsidRDefault="00374719" w:rsidP="00374719">
      <w:pPr>
        <w:spacing w:line="360" w:lineRule="exact"/>
      </w:pPr>
    </w:p>
    <w:p w:rsidR="00374719" w:rsidRDefault="00374719" w:rsidP="00374719">
      <w:pPr>
        <w:spacing w:line="1000" w:lineRule="exact"/>
        <w:ind w:firstLineChars="200" w:firstLine="112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p w:rsidR="00A55AB6" w:rsidRDefault="00374719">
      <w:bookmarkStart w:id="0" w:name="_GoBack"/>
      <w:bookmarkEnd w:id="0"/>
    </w:p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19"/>
    <w:rsid w:val="00374719"/>
    <w:rsid w:val="00465F93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2022-06-08T07:41:00Z</dcterms:created>
  <dcterms:modified xsi:type="dcterms:W3CDTF">2022-06-08T07:42:00Z</dcterms:modified>
</cp:coreProperties>
</file>