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4D" w:rsidRPr="00C94569" w:rsidRDefault="0020684D" w:rsidP="0020684D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A50F94B" wp14:editId="0F78B7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20684D" w:rsidRPr="00C94569" w:rsidRDefault="0020684D" w:rsidP="0020684D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0684D" w:rsidRPr="00C94569" w:rsidRDefault="0020684D" w:rsidP="0020684D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20684D" w:rsidRPr="00C94569" w:rsidRDefault="0020684D" w:rsidP="0020684D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0684D" w:rsidRPr="00C94569" w:rsidRDefault="00477C6C" w:rsidP="0020684D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20684D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20684D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20684D" w:rsidRPr="00C94569" w:rsidRDefault="0020684D" w:rsidP="0020684D">
      <w:pPr>
        <w:spacing w:line="160" w:lineRule="exact"/>
        <w:ind w:rightChars="-378" w:right="-907"/>
        <w:rPr>
          <w:rFonts w:ascii="Times New Roman" w:eastAsia="標楷體" w:hAnsi="Times New Roman" w:cs="Times New Roman"/>
        </w:rPr>
      </w:pPr>
    </w:p>
    <w:p w:rsidR="0020684D" w:rsidRPr="00C94569" w:rsidRDefault="0020684D" w:rsidP="0020684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0684D" w:rsidRPr="00C94569" w:rsidRDefault="0020684D" w:rsidP="0020684D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20684D" w:rsidRPr="00C94569" w:rsidRDefault="0020684D" w:rsidP="0020684D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22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0684D" w:rsidRPr="00C94569" w:rsidRDefault="0020684D" w:rsidP="0020684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90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0684D" w:rsidRPr="00C94569" w:rsidRDefault="0020684D" w:rsidP="0020684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20684D" w:rsidRPr="00FB6CB1" w:rsidRDefault="0020684D" w:rsidP="0020684D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15AF2" w:rsidRPr="00815AF2" w:rsidRDefault="0020684D" w:rsidP="0020684D">
      <w:pPr>
        <w:autoSpaceDE w:val="0"/>
        <w:autoSpaceDN w:val="0"/>
        <w:adjustRightInd w:val="0"/>
        <w:snapToGrid w:val="0"/>
        <w:spacing w:line="280" w:lineRule="exact"/>
        <w:ind w:left="1190" w:hangingChars="425" w:hanging="119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484F0A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84F0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84F0A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84F0A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財團法人金屬工業研究發</w:t>
      </w:r>
      <w:r w:rsidR="00E22F79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>
        <w:rPr>
          <w:rFonts w:ascii="Times New Roman" w:eastAsia="標楷體" w:hAnsi="Times New Roman" w:cs="Times New Roman" w:hint="eastAsia"/>
          <w:sz w:val="28"/>
          <w:szCs w:val="28"/>
        </w:rPr>
        <w:t>中心承接衛生福利部食品藥物管理署</w:t>
      </w:r>
      <w:proofErr w:type="gramStart"/>
      <w:r w:rsidRPr="00484F0A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484F0A">
        <w:rPr>
          <w:rFonts w:ascii="Times New Roman" w:eastAsia="標楷體" w:hAnsi="Times New Roman" w:cs="Times New Roman"/>
          <w:sz w:val="28"/>
          <w:szCs w:val="28"/>
        </w:rPr>
        <w:t>年度</w:t>
      </w:r>
      <w:r w:rsidR="00E22F79">
        <w:rPr>
          <w:rFonts w:ascii="標楷體" w:eastAsia="標楷體" w:hAnsi="標楷體" w:cs="Times New Roman" w:hint="eastAsia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Pr="00484F0A">
        <w:rPr>
          <w:rFonts w:ascii="Times New Roman" w:eastAsia="標楷體" w:hAnsi="Times New Roman" w:cs="Times New Roman"/>
          <w:sz w:val="28"/>
          <w:szCs w:val="28"/>
        </w:rPr>
        <w:t>醫療器材</w:t>
      </w:r>
      <w:r w:rsidR="004D014D">
        <w:rPr>
          <w:rFonts w:ascii="Times New Roman" w:eastAsia="標楷體" w:hAnsi="Times New Roman" w:cs="Times New Roman" w:hint="eastAsia"/>
          <w:sz w:val="28"/>
          <w:szCs w:val="28"/>
        </w:rPr>
        <w:t>管理法推展及</w:t>
      </w:r>
      <w:proofErr w:type="gramStart"/>
      <w:r w:rsidR="00815AF2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="00815AF2">
        <w:rPr>
          <w:rFonts w:ascii="Times New Roman" w:eastAsia="標楷體" w:hAnsi="Times New Roman" w:cs="Times New Roman" w:hint="eastAsia"/>
          <w:sz w:val="28"/>
          <w:szCs w:val="28"/>
        </w:rPr>
        <w:t>析</w:t>
      </w:r>
      <w:r w:rsidR="004D014D">
        <w:rPr>
          <w:rFonts w:ascii="Times New Roman" w:eastAsia="標楷體" w:hAnsi="Times New Roman" w:cs="Times New Roman" w:hint="eastAsia"/>
          <w:sz w:val="28"/>
          <w:szCs w:val="28"/>
        </w:rPr>
        <w:t>其相關管理規範計畫</w:t>
      </w:r>
      <w:r w:rsidRPr="00484F0A">
        <w:rPr>
          <w:rFonts w:ascii="Times New Roman" w:eastAsia="標楷體" w:hAnsi="Times New Roman" w:cs="Times New Roman"/>
          <w:sz w:val="28"/>
          <w:szCs w:val="28"/>
        </w:rPr>
        <w:t>」，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將於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815AF2">
        <w:rPr>
          <w:rFonts w:ascii="Times New Roman" w:eastAsia="標楷體" w:hAnsi="Times New Roman" w:cs="Times New Roman" w:hint="eastAsia"/>
          <w:sz w:val="28"/>
          <w:szCs w:val="28"/>
        </w:rPr>
        <w:t>分辦理醫療器材管理法相關配套措施說明會，說明</w:t>
      </w:r>
      <w:r w:rsidR="00815AF2">
        <w:rPr>
          <w:rFonts w:ascii="標楷體" w:eastAsia="標楷體" w:hAnsi="標楷體" w:cs="Times New Roman" w:hint="eastAsia"/>
          <w:sz w:val="28"/>
          <w:szCs w:val="28"/>
        </w:rPr>
        <w:t>「第</w:t>
      </w:r>
      <w:proofErr w:type="gramStart"/>
      <w:r w:rsidR="00815AF2">
        <w:rPr>
          <w:rFonts w:ascii="標楷體" w:eastAsia="標楷體" w:hAnsi="標楷體" w:cs="Times New Roman" w:hint="eastAsia"/>
          <w:sz w:val="28"/>
          <w:szCs w:val="28"/>
        </w:rPr>
        <w:t>ㄧ</w:t>
      </w:r>
      <w:proofErr w:type="gramEnd"/>
      <w:r w:rsidR="00815AF2">
        <w:rPr>
          <w:rFonts w:ascii="標楷體" w:eastAsia="標楷體" w:hAnsi="標楷體" w:cs="Times New Roman" w:hint="eastAsia"/>
          <w:sz w:val="28"/>
          <w:szCs w:val="28"/>
        </w:rPr>
        <w:t>等級醫療器材登錄制度」、</w:t>
      </w:r>
      <w:r w:rsidR="00426C05">
        <w:rPr>
          <w:rFonts w:ascii="標楷體" w:eastAsia="標楷體" w:hAnsi="標楷體" w:cs="Times New Roman" w:hint="eastAsia"/>
          <w:sz w:val="28"/>
          <w:szCs w:val="28"/>
        </w:rPr>
        <w:t>「特定醫療器材專案核准製造及輸入辦法」、</w:t>
      </w:r>
      <w:r w:rsidR="00815AF2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74CA9">
        <w:rPr>
          <w:rFonts w:ascii="標楷體" w:eastAsia="標楷體" w:hAnsi="標楷體" w:cs="Times New Roman" w:hint="eastAsia"/>
          <w:sz w:val="28"/>
          <w:szCs w:val="28"/>
        </w:rPr>
        <w:t>查驗登記相關注意事項</w:t>
      </w:r>
      <w:r w:rsidR="00815AF2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74CA9">
        <w:rPr>
          <w:rFonts w:ascii="標楷體" w:eastAsia="標楷體" w:hAnsi="標楷體" w:cs="Times New Roman" w:hint="eastAsia"/>
          <w:sz w:val="28"/>
          <w:szCs w:val="28"/>
        </w:rPr>
        <w:t>、「委託製造申報制度說明」及「醫療器材商登記制度及配套措施說明」</w:t>
      </w:r>
      <w:r w:rsidR="00796F3B">
        <w:rPr>
          <w:rFonts w:ascii="標楷體" w:eastAsia="標楷體" w:hAnsi="標楷體" w:cs="Times New Roman" w:hint="eastAsia"/>
          <w:sz w:val="28"/>
          <w:szCs w:val="28"/>
        </w:rPr>
        <w:t>等五項議題，會議議程及交通資訊如附件，敬邀請醫療器材商相關會員業者</w:t>
      </w:r>
      <w:r w:rsidR="004B1C40">
        <w:rPr>
          <w:rFonts w:ascii="標楷體" w:eastAsia="標楷體" w:hAnsi="標楷體" w:cs="Times New Roman" w:hint="eastAsia"/>
          <w:sz w:val="28"/>
          <w:szCs w:val="28"/>
        </w:rPr>
        <w:t>參與</w:t>
      </w:r>
      <w:r w:rsidR="00796F3B">
        <w:rPr>
          <w:rFonts w:ascii="標楷體" w:eastAsia="標楷體" w:hAnsi="標楷體" w:cs="Times New Roman" w:hint="eastAsia"/>
          <w:sz w:val="28"/>
          <w:szCs w:val="28"/>
        </w:rPr>
        <w:t>，請查照。</w:t>
      </w:r>
    </w:p>
    <w:p w:rsidR="0020684D" w:rsidRPr="00F70696" w:rsidRDefault="0020684D" w:rsidP="0020684D">
      <w:pPr>
        <w:autoSpaceDE w:val="0"/>
        <w:autoSpaceDN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20684D" w:rsidRPr="00F70696" w:rsidRDefault="0020684D" w:rsidP="0020684D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Pr="00F70696">
        <w:rPr>
          <w:rFonts w:ascii="Times New Roman" w:eastAsia="標楷體" w:hAnsi="Times New Roman" w:cs="Times New Roman"/>
          <w:sz w:val="28"/>
          <w:szCs w:val="28"/>
        </w:rPr>
        <w:t>財團法人</w:t>
      </w:r>
      <w:r w:rsidR="00E22F79">
        <w:rPr>
          <w:rFonts w:ascii="Times New Roman" w:eastAsia="標楷體" w:hAnsi="Times New Roman" w:cs="Times New Roman" w:hint="eastAsia"/>
          <w:sz w:val="28"/>
          <w:szCs w:val="28"/>
        </w:rPr>
        <w:t>金屬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工業研</w:t>
      </w:r>
      <w:r w:rsidR="00E22F79">
        <w:rPr>
          <w:rFonts w:ascii="Times New Roman" w:eastAsia="標楷體" w:hAnsi="Times New Roman" w:cs="Times New Roman" w:hint="eastAsia"/>
          <w:sz w:val="28"/>
          <w:szCs w:val="28"/>
        </w:rPr>
        <w:t>究發展中心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="00E22F7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8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E22F7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金</w:t>
      </w:r>
      <w:proofErr w:type="gramStart"/>
      <w:r w:rsidR="00E22F7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醫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E22F7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1000952A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20684D" w:rsidRPr="00F70696" w:rsidRDefault="0020684D" w:rsidP="00607A11">
      <w:pPr>
        <w:autoSpaceDE w:val="0"/>
        <w:autoSpaceDN w:val="0"/>
        <w:spacing w:line="28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考量防疫需求，會議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採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實體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及線上並行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方式辦理，實體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會議假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集思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交通部國際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會議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中心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集會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堂辦理，擬請各會員至多派一人出席，名額為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150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人，額滿後將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逕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予安排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參加線上會議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；各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所屬業者會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員限制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參加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線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上會議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為</w:t>
      </w:r>
      <w:proofErr w:type="gramStart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確保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線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上</w:t>
      </w:r>
      <w:r w:rsidR="005C2EB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會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議</w:t>
      </w:r>
      <w:proofErr w:type="gramEnd"/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連</w:t>
      </w:r>
      <w:r w:rsidR="00CE599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線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品質，各會員</w:t>
      </w:r>
      <w:r w:rsidR="0025176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限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制報名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FF5C6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人。</w:t>
      </w:r>
    </w:p>
    <w:p w:rsidR="00FE0B31" w:rsidRDefault="0020684D" w:rsidP="0020684D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三、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實體說明會訂於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星期二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proofErr w:type="gramStart"/>
      <w:r w:rsidR="00FE0B3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時假集思</w:t>
      </w:r>
      <w:proofErr w:type="gramEnd"/>
      <w:r w:rsidR="00FE0B31">
        <w:rPr>
          <w:rFonts w:ascii="Times New Roman" w:eastAsia="標楷體" w:hAnsi="Times New Roman" w:cs="Times New Roman" w:hint="eastAsia"/>
          <w:sz w:val="28"/>
          <w:szCs w:val="28"/>
        </w:rPr>
        <w:t>交通部國際會議中心集會堂</w:t>
      </w:r>
      <w:r w:rsidR="00FE0B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台北市中正區杭州南路一段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C2C18">
        <w:rPr>
          <w:rFonts w:ascii="Times New Roman" w:eastAsia="標楷體" w:hAnsi="Times New Roman" w:cs="Times New Roman" w:hint="eastAsia"/>
          <w:sz w:val="28"/>
          <w:szCs w:val="28"/>
        </w:rPr>
        <w:t>辦理，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並同步</w:t>
      </w:r>
      <w:proofErr w:type="gramStart"/>
      <w:r w:rsidR="00BE701A">
        <w:rPr>
          <w:rFonts w:ascii="Times New Roman" w:eastAsia="標楷體" w:hAnsi="Times New Roman" w:cs="Times New Roman" w:hint="eastAsia"/>
          <w:sz w:val="28"/>
          <w:szCs w:val="28"/>
        </w:rPr>
        <w:t>辦理線上說明</w:t>
      </w:r>
      <w:proofErr w:type="gramEnd"/>
      <w:r w:rsidR="00BE701A">
        <w:rPr>
          <w:rFonts w:ascii="Times New Roman" w:eastAsia="標楷體" w:hAnsi="Times New Roman" w:cs="Times New Roman" w:hint="eastAsia"/>
          <w:sz w:val="28"/>
          <w:szCs w:val="28"/>
        </w:rPr>
        <w:t>會。</w:t>
      </w:r>
    </w:p>
    <w:p w:rsidR="00BE701A" w:rsidRDefault="0020684D" w:rsidP="001E3153">
      <w:pPr>
        <w:autoSpaceDE w:val="0"/>
        <w:autoSpaceDN w:val="0"/>
        <w:spacing w:line="28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四、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報名截止為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時，請進入</w:t>
      </w:r>
      <w:proofErr w:type="gramStart"/>
      <w:r w:rsidR="00BE701A">
        <w:rPr>
          <w:rFonts w:ascii="Times New Roman" w:eastAsia="標楷體" w:hAnsi="Times New Roman" w:cs="Times New Roman" w:hint="eastAsia"/>
          <w:sz w:val="28"/>
          <w:szCs w:val="28"/>
        </w:rPr>
        <w:t>下方線上報名</w:t>
      </w:r>
      <w:proofErr w:type="gramEnd"/>
      <w:r w:rsidR="00BE701A">
        <w:rPr>
          <w:rFonts w:ascii="Times New Roman" w:eastAsia="標楷體" w:hAnsi="Times New Roman" w:cs="Times New Roman" w:hint="eastAsia"/>
          <w:sz w:val="28"/>
          <w:szCs w:val="28"/>
        </w:rPr>
        <w:t>連結填列相關資訊，完成報名者，將再以電子郵件通知之實體說明會現場座位報到序號</w:t>
      </w:r>
      <w:proofErr w:type="gramStart"/>
      <w:r w:rsidR="00BE701A">
        <w:rPr>
          <w:rFonts w:ascii="Times New Roman" w:eastAsia="標楷體" w:hAnsi="Times New Roman" w:cs="Times New Roman" w:hint="eastAsia"/>
          <w:sz w:val="28"/>
          <w:szCs w:val="28"/>
        </w:rPr>
        <w:t>及線上說明</w:t>
      </w:r>
      <w:proofErr w:type="gramEnd"/>
      <w:r w:rsidR="00BE701A">
        <w:rPr>
          <w:rFonts w:ascii="Times New Roman" w:eastAsia="標楷體" w:hAnsi="Times New Roman" w:cs="Times New Roman" w:hint="eastAsia"/>
          <w:sz w:val="28"/>
          <w:szCs w:val="28"/>
        </w:rPr>
        <w:t>會相關資訊。額滿為止，額滿時將關閉報名連結。報名連結網址</w:t>
      </w:r>
      <w:r w:rsidR="00BE701A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00240C" w:rsidRPr="00F70696" w:rsidRDefault="0000240C" w:rsidP="001E3153">
      <w:pPr>
        <w:autoSpaceDE w:val="0"/>
        <w:autoSpaceDN w:val="0"/>
        <w:spacing w:line="280" w:lineRule="exact"/>
        <w:ind w:leftChars="531" w:left="127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h</w:t>
      </w:r>
      <w:r>
        <w:rPr>
          <w:rFonts w:ascii="Times New Roman" w:eastAsia="標楷體" w:hAnsi="Times New Roman" w:cs="Times New Roman"/>
          <w:sz w:val="28"/>
          <w:szCs w:val="28"/>
        </w:rPr>
        <w:t>ttps://forms.gle/6Zd781oFdxm9urrF8</w:t>
      </w:r>
    </w:p>
    <w:p w:rsidR="002100FC" w:rsidRDefault="0020684D" w:rsidP="00D97A02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五、</w:t>
      </w:r>
      <w:r w:rsidR="002100FC">
        <w:rPr>
          <w:rFonts w:ascii="Times New Roman" w:eastAsia="標楷體" w:hAnsi="Times New Roman" w:cs="Times New Roman" w:hint="eastAsia"/>
          <w:sz w:val="28"/>
          <w:szCs w:val="28"/>
        </w:rPr>
        <w:t>配合政府防疫措施，參與實體說明會者，請全程配戴口罩。</w:t>
      </w:r>
    </w:p>
    <w:p w:rsidR="00802AA9" w:rsidRDefault="002100FC" w:rsidP="00D97A02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1D0F11">
        <w:rPr>
          <w:rFonts w:ascii="Times New Roman" w:eastAsia="標楷體" w:hAnsi="Times New Roman" w:cs="Times New Roman" w:hint="eastAsia"/>
          <w:sz w:val="28"/>
          <w:szCs w:val="28"/>
        </w:rPr>
        <w:t>檢附會議議程及交通資訊一式。</w:t>
      </w:r>
      <w:r w:rsidR="0020684D" w:rsidRPr="00F706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67A37" w:rsidRDefault="00067A37" w:rsidP="00D97A02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67A37" w:rsidRDefault="00067A37" w:rsidP="00D97A02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67A37" w:rsidRDefault="00067A37" w:rsidP="00D97A02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67A37" w:rsidRDefault="00067A37" w:rsidP="00D97A02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67A37" w:rsidRPr="00067A37" w:rsidRDefault="00067A37" w:rsidP="00067A37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067A37" w:rsidRPr="00067A37" w:rsidSect="00FB6CB1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6C" w:rsidRDefault="00477C6C" w:rsidP="00067A37">
      <w:r>
        <w:separator/>
      </w:r>
    </w:p>
  </w:endnote>
  <w:endnote w:type="continuationSeparator" w:id="0">
    <w:p w:rsidR="00477C6C" w:rsidRDefault="00477C6C" w:rsidP="0006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6C" w:rsidRDefault="00477C6C" w:rsidP="00067A37">
      <w:r>
        <w:separator/>
      </w:r>
    </w:p>
  </w:footnote>
  <w:footnote w:type="continuationSeparator" w:id="0">
    <w:p w:rsidR="00477C6C" w:rsidRDefault="00477C6C" w:rsidP="0006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D"/>
    <w:rsid w:val="0000240C"/>
    <w:rsid w:val="00067A37"/>
    <w:rsid w:val="000D2650"/>
    <w:rsid w:val="001D0F11"/>
    <w:rsid w:val="001E3153"/>
    <w:rsid w:val="0020684D"/>
    <w:rsid w:val="002100FC"/>
    <w:rsid w:val="0025176E"/>
    <w:rsid w:val="003A5A12"/>
    <w:rsid w:val="00426C05"/>
    <w:rsid w:val="00477C6C"/>
    <w:rsid w:val="004B1C40"/>
    <w:rsid w:val="004D014D"/>
    <w:rsid w:val="005C2EB7"/>
    <w:rsid w:val="00607A11"/>
    <w:rsid w:val="00607F6E"/>
    <w:rsid w:val="00715F62"/>
    <w:rsid w:val="00796F3B"/>
    <w:rsid w:val="00802AA9"/>
    <w:rsid w:val="00815AF2"/>
    <w:rsid w:val="008C2C18"/>
    <w:rsid w:val="00A63559"/>
    <w:rsid w:val="00AB5F7F"/>
    <w:rsid w:val="00B40D76"/>
    <w:rsid w:val="00B6147C"/>
    <w:rsid w:val="00BE701A"/>
    <w:rsid w:val="00C75134"/>
    <w:rsid w:val="00CE599E"/>
    <w:rsid w:val="00D97A02"/>
    <w:rsid w:val="00E113A7"/>
    <w:rsid w:val="00E22F79"/>
    <w:rsid w:val="00EC5F7D"/>
    <w:rsid w:val="00F62493"/>
    <w:rsid w:val="00F74CA9"/>
    <w:rsid w:val="00FE0B31"/>
    <w:rsid w:val="00FE3074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5E7D"/>
  <w15:chartTrackingRefBased/>
  <w15:docId w15:val="{452FAED9-88DF-4E0D-B580-20B615D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dcterms:created xsi:type="dcterms:W3CDTF">2021-03-23T01:13:00Z</dcterms:created>
  <dcterms:modified xsi:type="dcterms:W3CDTF">2021-03-23T03:29:00Z</dcterms:modified>
</cp:coreProperties>
</file>