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08" w:rsidRPr="008A0051" w:rsidRDefault="00571408" w:rsidP="0057140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7617DD8" wp14:editId="12257D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71408" w:rsidRPr="008A0051" w:rsidRDefault="00571408" w:rsidP="0057140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71408" w:rsidRPr="0031487B" w:rsidRDefault="00571408" w:rsidP="00571408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571408" w:rsidRPr="008A0051" w:rsidRDefault="00571408" w:rsidP="0057140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71408" w:rsidRPr="008A0051" w:rsidRDefault="005902AC" w:rsidP="0057140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71408" w:rsidRPr="008A0051">
          <w:rPr>
            <w:rFonts w:ascii="標楷體" w:eastAsia="標楷體" w:hAnsi="標楷體" w:cs="Times New Roman" w:hint="eastAsia"/>
          </w:rPr>
          <w:t>ie</w:t>
        </w:r>
        <w:bookmarkStart w:id="0" w:name="_GoBack"/>
        <w:r w:rsidR="00571408" w:rsidRPr="008A0051">
          <w:rPr>
            <w:rFonts w:ascii="標楷體" w:eastAsia="標楷體" w:hAnsi="標楷體" w:cs="Times New Roman" w:hint="eastAsia"/>
          </w:rPr>
          <w:t>3</w:t>
        </w:r>
        <w:bookmarkEnd w:id="0"/>
        <w:r w:rsidR="00571408" w:rsidRPr="008A0051">
          <w:rPr>
            <w:rFonts w:ascii="標楷體" w:eastAsia="標楷體" w:hAnsi="標楷體" w:cs="Times New Roman" w:hint="eastAsia"/>
          </w:rPr>
          <w:t>25@ms19.hinet.net</w:t>
        </w:r>
      </w:hyperlink>
      <w:r w:rsidR="0057140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71408" w:rsidRPr="008A0051" w:rsidRDefault="00571408" w:rsidP="00571408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571408" w:rsidRPr="00E844A1" w:rsidRDefault="00571408" w:rsidP="0057140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571408" w:rsidRPr="00CF0C2C" w:rsidRDefault="00571408" w:rsidP="00571408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571408" w:rsidRPr="00502903" w:rsidRDefault="00571408" w:rsidP="0057140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71408" w:rsidRPr="00502903" w:rsidRDefault="00571408" w:rsidP="005714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71408" w:rsidRPr="00502903" w:rsidRDefault="00571408" w:rsidP="005714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571408" w:rsidRPr="00502903" w:rsidRDefault="00571408" w:rsidP="00571408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71408" w:rsidRPr="002E4AB9" w:rsidRDefault="00571408" w:rsidP="00571408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bookmarkStart w:id="1" w:name="_Hlk79073444"/>
      <w:r>
        <w:rPr>
          <w:rFonts w:ascii="Times New Roman" w:eastAsia="標楷體" w:hAnsi="Times New Roman" w:cs="Times New Roman" w:hint="eastAsia"/>
          <w:sz w:val="32"/>
          <w:szCs w:val="32"/>
        </w:rPr>
        <w:t>印度輸入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0904.22.00.00</w:t>
      </w:r>
      <w:r w:rsidR="00DC7B0F">
        <w:rPr>
          <w:rFonts w:ascii="Times New Roman" w:eastAsia="標楷體" w:hAnsi="Times New Roman" w:cs="Times New Roman" w:hint="eastAsia"/>
          <w:sz w:val="32"/>
          <w:szCs w:val="32"/>
        </w:rPr>
        <w:t>.1</w:t>
      </w:r>
      <w:r>
        <w:rPr>
          <w:rFonts w:ascii="Times New Roman" w:eastAsia="標楷體" w:hAnsi="Times New Roman" w:cs="Times New Roman" w:hint="eastAsia"/>
          <w:sz w:val="32"/>
          <w:szCs w:val="32"/>
        </w:rPr>
        <w:t>番椒屬或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丁子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屬</w:t>
      </w:r>
      <w:r w:rsidR="00DC7B0F">
        <w:rPr>
          <w:rFonts w:ascii="Times New Roman" w:eastAsia="標楷體" w:hAnsi="Times New Roman" w:cs="Times New Roman" w:hint="eastAsia"/>
          <w:sz w:val="32"/>
          <w:szCs w:val="32"/>
        </w:rPr>
        <w:t>之果實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4E74E5">
        <w:rPr>
          <w:rFonts w:ascii="Times New Roman" w:eastAsia="標楷體" w:hAnsi="Times New Roman" w:cs="Times New Roman" w:hint="eastAsia"/>
          <w:sz w:val="32"/>
          <w:szCs w:val="32"/>
        </w:rPr>
        <w:t>壓碎或研磨者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571408" w:rsidRPr="002E4AB9" w:rsidRDefault="00571408" w:rsidP="00571408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71408" w:rsidRPr="002E4AB9" w:rsidRDefault="00571408" w:rsidP="00571408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DC7B0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02060316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571408" w:rsidRPr="002E4AB9" w:rsidRDefault="00571408" w:rsidP="00571408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印度輸入貨品分類號列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0904.22.00.00</w:t>
      </w:r>
      <w:r w:rsidR="00507D37">
        <w:rPr>
          <w:rFonts w:ascii="Times New Roman" w:eastAsia="標楷體" w:hAnsi="Times New Roman" w:cs="Times New Roman"/>
          <w:sz w:val="32"/>
          <w:szCs w:val="32"/>
        </w:rPr>
        <w:t>.1</w:t>
      </w:r>
      <w:r>
        <w:rPr>
          <w:rFonts w:ascii="Times New Roman" w:eastAsia="標楷體" w:hAnsi="Times New Roman" w:cs="Times New Roman" w:hint="eastAsia"/>
          <w:sz w:val="32"/>
          <w:szCs w:val="32"/>
        </w:rPr>
        <w:t>番椒屬或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丁子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屬之果實，</w:t>
      </w:r>
      <w:r w:rsidR="004E74E5">
        <w:rPr>
          <w:rFonts w:ascii="Times New Roman" w:eastAsia="標楷體" w:hAnsi="Times New Roman" w:cs="Times New Roman" w:hint="eastAsia"/>
          <w:sz w:val="32"/>
          <w:szCs w:val="32"/>
        </w:rPr>
        <w:t>壓碎或研磨者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於進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個月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不符合食品安全衛生管理法第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為確保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輸入食品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針對該產品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旨掲措施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71408" w:rsidRDefault="00571408" w:rsidP="00571408">
      <w:pPr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</w:t>
      </w:r>
    </w:p>
    <w:p w:rsidR="00571408" w:rsidRDefault="00571408"/>
    <w:p w:rsidR="005902AC" w:rsidRDefault="005902AC"/>
    <w:p w:rsidR="005902AC" w:rsidRDefault="005902AC">
      <w:pPr>
        <w:rPr>
          <w:rFonts w:hint="eastAsia"/>
        </w:rPr>
      </w:pPr>
    </w:p>
    <w:p w:rsidR="005902AC" w:rsidRDefault="005902AC"/>
    <w:p w:rsidR="005902AC" w:rsidRDefault="005902AC" w:rsidP="005902AC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902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08"/>
    <w:rsid w:val="004E74E5"/>
    <w:rsid w:val="00507D37"/>
    <w:rsid w:val="00571408"/>
    <w:rsid w:val="005902AC"/>
    <w:rsid w:val="00D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4E3F"/>
  <w15:chartTrackingRefBased/>
  <w15:docId w15:val="{54ADCE20-51E3-4EC8-8263-7A7702E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2022-01-05T07:37:00Z</dcterms:created>
  <dcterms:modified xsi:type="dcterms:W3CDTF">2022-01-05T08:23:00Z</dcterms:modified>
</cp:coreProperties>
</file>