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59" w:rsidRPr="00B365DB" w:rsidRDefault="004540F8" w:rsidP="0086525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A6D9D26" wp14:editId="2A32643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259">
        <w:rPr>
          <w:rFonts w:ascii="標楷體" w:eastAsia="標楷體" w:hAnsi="標楷體" w:cs="Times New Roman" w:hint="eastAsia"/>
          <w:b/>
          <w:sz w:val="52"/>
        </w:rPr>
        <w:t xml:space="preserve">    </w:t>
      </w:r>
      <w:r w:rsidR="00865259" w:rsidRPr="00B365DB">
        <w:rPr>
          <w:rFonts w:ascii="標楷體" w:eastAsia="標楷體" w:hAnsi="標楷體" w:cs="Times New Roman" w:hint="eastAsia"/>
          <w:b/>
          <w:sz w:val="52"/>
        </w:rPr>
        <w:t>桃園市進出口商業同業公會 函</w:t>
      </w:r>
    </w:p>
    <w:p w:rsidR="00865259" w:rsidRPr="00B365DB" w:rsidRDefault="00865259" w:rsidP="00865259">
      <w:pPr>
        <w:spacing w:line="320" w:lineRule="exact"/>
        <w:rPr>
          <w:rFonts w:ascii="News706 BT" w:eastAsia="Gulim" w:hAnsi="News706 BT" w:cs="Times New Roman"/>
          <w:sz w:val="28"/>
        </w:rPr>
      </w:pPr>
      <w:r w:rsidRPr="00B365DB">
        <w:rPr>
          <w:rFonts w:ascii="News706 BT" w:eastAsia="新細明體" w:hAnsi="News706 BT" w:cs="Times New Roman"/>
          <w:sz w:val="28"/>
        </w:rPr>
        <w:t xml:space="preserve">     </w:t>
      </w:r>
      <w:r w:rsidRPr="00B365DB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B365DB">
        <w:rPr>
          <w:rFonts w:ascii="News706 BT" w:eastAsia="新細明體" w:hAnsi="News706 BT" w:cs="Times New Roman"/>
          <w:sz w:val="28"/>
        </w:rPr>
        <w:t xml:space="preserve"> </w:t>
      </w:r>
      <w:r w:rsidRPr="00B365DB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65259" w:rsidRPr="00B365DB" w:rsidRDefault="00865259" w:rsidP="00865259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>桃園市桃園區春日路1235之2號3F</w:t>
      </w:r>
    </w:p>
    <w:p w:rsidR="00865259" w:rsidRPr="00B365DB" w:rsidRDefault="00865259" w:rsidP="0086525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B365DB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65259" w:rsidRPr="00B365DB" w:rsidRDefault="00865259" w:rsidP="0086525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B365DB">
        <w:rPr>
          <w:rFonts w:hint="eastAsia"/>
        </w:rPr>
        <w:t xml:space="preserve">           </w:t>
      </w:r>
      <w:hyperlink r:id="rId7" w:history="1">
        <w:r w:rsidRPr="00B365DB">
          <w:rPr>
            <w:rFonts w:ascii="標楷體" w:eastAsia="標楷體" w:hAnsi="標楷體" w:cs="Times New Roman" w:hint="eastAsia"/>
          </w:rPr>
          <w:t>ie325@ms19.hinet.net</w:t>
        </w:r>
      </w:hyperlink>
      <w:r w:rsidRPr="00B365DB">
        <w:rPr>
          <w:rFonts w:ascii="標楷體" w:eastAsia="標楷體" w:hAnsi="標楷體" w:cs="Times New Roman" w:hint="eastAsia"/>
        </w:rPr>
        <w:t xml:space="preserve">     www.taoyuanproduct.org</w:t>
      </w:r>
      <w:r w:rsidRPr="00B365DB">
        <w:rPr>
          <w:rFonts w:ascii="標楷體" w:eastAsia="標楷體" w:hAnsi="標楷體" w:cs="Times New Roman" w:hint="eastAsia"/>
        </w:rPr>
        <w:tab/>
      </w:r>
    </w:p>
    <w:p w:rsidR="00CC3B6A" w:rsidRDefault="00CC3B6A" w:rsidP="00CC3B6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65259" w:rsidRDefault="00865259" w:rsidP="00022850">
      <w:pPr>
        <w:spacing w:line="32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650329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1A76C3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681577">
        <w:rPr>
          <w:rFonts w:ascii="標楷體" w:eastAsia="標楷體" w:hAnsi="標楷體" w:cs="Times New Roman" w:hint="eastAsia"/>
          <w:color w:val="000000"/>
          <w:sz w:val="36"/>
          <w:szCs w:val="36"/>
        </w:rPr>
        <w:t>市商代表</w:t>
      </w:r>
    </w:p>
    <w:p w:rsidR="00865259" w:rsidRPr="00B11CAC" w:rsidRDefault="00865259" w:rsidP="0002285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4540F8">
        <w:rPr>
          <w:rFonts w:ascii="標楷體" w:eastAsia="標楷體" w:hAnsi="標楷體" w:cs="Times New Roman"/>
          <w:color w:val="000000"/>
          <w:szCs w:val="24"/>
        </w:rPr>
        <w:t>8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681577"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4540F8">
        <w:rPr>
          <w:rFonts w:ascii="標楷體" w:eastAsia="標楷體" w:hAnsi="標楷體" w:cs="Times New Roman"/>
          <w:color w:val="000000"/>
          <w:szCs w:val="24"/>
        </w:rPr>
        <w:t>1</w:t>
      </w:r>
      <w:r w:rsidR="00681577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65259" w:rsidRPr="00B11CAC" w:rsidRDefault="00865259" w:rsidP="0002285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B11CAC"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681577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 w:rsidRPr="00B11CAC">
        <w:rPr>
          <w:rFonts w:ascii="標楷體" w:eastAsia="標楷體" w:hAnsi="標楷體" w:cs="Times New Roman" w:hint="eastAsia"/>
          <w:color w:val="000000"/>
          <w:szCs w:val="24"/>
        </w:rPr>
        <w:t>第1</w:t>
      </w:r>
      <w:r w:rsidR="00681577">
        <w:rPr>
          <w:rFonts w:ascii="標楷體" w:eastAsia="標楷體" w:hAnsi="標楷體" w:cs="Times New Roman" w:hint="eastAsia"/>
          <w:color w:val="000000"/>
          <w:szCs w:val="24"/>
        </w:rPr>
        <w:t>9143</w:t>
      </w:r>
      <w:r w:rsidRPr="00B11CAC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65259" w:rsidRPr="00B11CAC" w:rsidRDefault="00865259" w:rsidP="0002285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B11CAC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F54E0D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865259" w:rsidRPr="00A17BCC" w:rsidRDefault="00865259" w:rsidP="00022850">
      <w:pPr>
        <w:adjustRightInd w:val="0"/>
        <w:snapToGrid w:val="0"/>
        <w:spacing w:line="32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主    旨：</w:t>
      </w:r>
      <w:r w:rsidR="006815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="00F54E0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商業會</w:t>
      </w:r>
      <w:r w:rsidR="006815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配合經濟部中小企業處運用中小企業發展基金服務工作計畫，訂於108年10月4日(五)辦理中小企業績優廠商觀摩活動</w:t>
      </w:r>
      <w:r w:rsidR="00F54E0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9E6E16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敬請各</w:t>
      </w:r>
      <w:r w:rsidR="006815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代表</w:t>
      </w:r>
      <w:r w:rsidR="009E6E16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踴躍報名參加。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</w:p>
    <w:p w:rsidR="00865259" w:rsidRPr="00F54E0D" w:rsidRDefault="00865259" w:rsidP="00022850">
      <w:pPr>
        <w:adjustRightInd w:val="0"/>
        <w:snapToGrid w:val="0"/>
        <w:spacing w:line="320" w:lineRule="exact"/>
        <w:ind w:left="1400" w:rightChars="135" w:right="324" w:hangingChars="500" w:hanging="140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說    明:一、依據</w:t>
      </w:r>
      <w:r w:rsidR="00F54E0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桃園市商業</w:t>
      </w:r>
      <w:proofErr w:type="gramStart"/>
      <w:r w:rsidR="00F54E0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會桃商總</w:t>
      </w:r>
      <w:proofErr w:type="gramEnd"/>
      <w:r w:rsidR="009E6E16" w:rsidRPr="00A17BCC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字第</w:t>
      </w:r>
      <w:r w:rsidR="00F54E0D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28"/>
          <w:szCs w:val="28"/>
        </w:rPr>
        <w:t>10</w:t>
      </w:r>
      <w:r w:rsidR="004540F8">
        <w:rPr>
          <w:rFonts w:ascii="標楷體" w:eastAsia="標楷體" w:hAnsi="標楷體" w:cs="Times New Roman"/>
          <w:color w:val="000000" w:themeColor="text1"/>
          <w:spacing w:val="-20"/>
          <w:w w:val="80"/>
          <w:sz w:val="28"/>
          <w:szCs w:val="28"/>
        </w:rPr>
        <w:t>8</w:t>
      </w:r>
      <w:r w:rsidR="00681577">
        <w:rPr>
          <w:rFonts w:ascii="標楷體" w:eastAsia="標楷體" w:hAnsi="標楷體" w:cs="Times New Roman" w:hint="eastAsia"/>
          <w:color w:val="000000" w:themeColor="text1"/>
          <w:spacing w:val="-20"/>
          <w:w w:val="80"/>
          <w:sz w:val="28"/>
          <w:szCs w:val="28"/>
        </w:rPr>
        <w:t>556</w:t>
      </w:r>
      <w:r w:rsidR="00D357E4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號函辦理。</w:t>
      </w:r>
    </w:p>
    <w:p w:rsidR="00293D3F" w:rsidRDefault="00A05102" w:rsidP="00022850">
      <w:pPr>
        <w:adjustRightInd w:val="0"/>
        <w:snapToGrid w:val="0"/>
        <w:spacing w:line="320" w:lineRule="exact"/>
        <w:ind w:left="1800" w:rightChars="135" w:right="324" w:hangingChars="750" w:hanging="18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   </w:t>
      </w:r>
      <w:r w:rsidR="005E52C7"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  <w:t xml:space="preserve"> </w:t>
      </w:r>
      <w:r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681577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二、</w:t>
      </w:r>
      <w:r w:rsidR="009E6E16" w:rsidRPr="00A17BCC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6815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觀摩日期:108年10月4日(五)</w:t>
      </w:r>
    </w:p>
    <w:p w:rsidR="00681577" w:rsidRDefault="00681577" w:rsidP="00022850">
      <w:pPr>
        <w:adjustRightInd w:val="0"/>
        <w:snapToGrid w:val="0"/>
        <w:spacing w:line="32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三、觀摩行程:07:00-07:30 集合出發(車上享用早餐)</w:t>
      </w:r>
    </w:p>
    <w:p w:rsidR="00681577" w:rsidRDefault="00681577" w:rsidP="00022850">
      <w:pPr>
        <w:adjustRightInd w:val="0"/>
        <w:snapToGrid w:val="0"/>
        <w:spacing w:line="32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09:30-11:00 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中文化創意產業園區</w:t>
      </w:r>
    </w:p>
    <w:p w:rsidR="00681577" w:rsidRDefault="00681577" w:rsidP="00022850">
      <w:pPr>
        <w:adjustRightInd w:val="0"/>
        <w:snapToGrid w:val="0"/>
        <w:spacing w:line="32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(舊台中酒廠)→11:30-12:30午餐時光</w:t>
      </w:r>
    </w:p>
    <w:p w:rsidR="00681577" w:rsidRDefault="00681577" w:rsidP="00022850">
      <w:pPr>
        <w:adjustRightInd w:val="0"/>
        <w:snapToGrid w:val="0"/>
        <w:spacing w:line="32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→13:00-14:30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中豐原臺灣味增釀造</w:t>
      </w:r>
    </w:p>
    <w:p w:rsidR="00681577" w:rsidRDefault="00681577" w:rsidP="00022850">
      <w:pPr>
        <w:adjustRightInd w:val="0"/>
        <w:snapToGrid w:val="0"/>
        <w:spacing w:line="32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文化館→15:30-16:30苗栗通宵精鹽廠</w:t>
      </w:r>
    </w:p>
    <w:p w:rsidR="00681577" w:rsidRDefault="00681577" w:rsidP="00022850">
      <w:pPr>
        <w:adjustRightInd w:val="0"/>
        <w:snapToGrid w:val="0"/>
        <w:spacing w:line="320" w:lineRule="exact"/>
        <w:ind w:left="2100" w:rightChars="135" w:right="324" w:hangingChars="750" w:hanging="21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→17:00-18:00共進晚餐→18:00快樂</w:t>
      </w:r>
    </w:p>
    <w:p w:rsidR="00681577" w:rsidRPr="00681577" w:rsidRDefault="00681577" w:rsidP="00022850">
      <w:pPr>
        <w:adjustRightInd w:val="0"/>
        <w:snapToGrid w:val="0"/>
        <w:spacing w:line="320" w:lineRule="exact"/>
        <w:ind w:left="2100" w:rightChars="135" w:right="324" w:hangingChars="750" w:hanging="2100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賦歸。</w:t>
      </w:r>
    </w:p>
    <w:p w:rsidR="00681577" w:rsidRDefault="00780BFA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6815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68157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報名費用:該會會員代表完全免費，眷屬600元(函</w:t>
      </w:r>
    </w:p>
    <w:p w:rsidR="00780BFA" w:rsidRDefault="00681577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車資、保險、門票、餐費，以一位為限)</w:t>
      </w:r>
    </w:p>
    <w:p w:rsidR="000311DE" w:rsidRDefault="00357043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報名日期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自即日起至9月24日止，請於辦公時間</w:t>
      </w:r>
    </w:p>
    <w:p w:rsidR="000311DE" w:rsidRDefault="000311DE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向該會報名或填妥報名表傳真報名(傳真</w:t>
      </w:r>
    </w:p>
    <w:p w:rsidR="00357043" w:rsidRPr="00A17BCC" w:rsidRDefault="000311DE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後請電話確認)</w:t>
      </w:r>
      <w:r w:rsidRPr="00A17BCC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0311DE" w:rsidRDefault="0073093E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乘車地點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【桃園】上午7:00桃園市商業會</w:t>
      </w:r>
    </w:p>
    <w:p w:rsidR="000311DE" w:rsidRDefault="000311DE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(桃園區仁愛路5號)</w:t>
      </w:r>
    </w:p>
    <w:p w:rsidR="000311DE" w:rsidRDefault="000311DE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【中壢】上午7:20中壢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凱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基銀行前</w:t>
      </w:r>
    </w:p>
    <w:p w:rsidR="0073093E" w:rsidRDefault="000311DE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(中壢區中央東路13號之1)</w:t>
      </w: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</w:p>
    <w:p w:rsidR="001974D7" w:rsidRDefault="001974D7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80名(額滿為止)</w:t>
      </w:r>
    </w:p>
    <w:p w:rsidR="000311DE" w:rsidRDefault="001974D7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*備註:請攜帶健保卡及常備用藥、帽子、輕便鞋、毛巾、</w:t>
      </w:r>
    </w:p>
    <w:p w:rsidR="00022850" w:rsidRDefault="00022850" w:rsidP="00022850">
      <w:pPr>
        <w:adjustRightInd w:val="0"/>
        <w:snapToGrid w:val="0"/>
        <w:spacing w:line="320" w:lineRule="exac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0311D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太陽眼鏡、行動電話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1974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95532D" w:rsidRPr="00A17BC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</w:p>
    <w:p w:rsidR="00022850" w:rsidRDefault="00022850" w:rsidP="0002285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692527" w:rsidRDefault="00CC3B6A" w:rsidP="00022850">
      <w:pPr>
        <w:adjustRightInd w:val="0"/>
        <w:snapToGrid w:val="0"/>
        <w:spacing w:line="240" w:lineRule="atLeast"/>
        <w:ind w:rightChars="135" w:right="324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r>
        <w:rPr>
          <w:rFonts w:hint="eastAsia"/>
          <w:sz w:val="28"/>
          <w:szCs w:val="28"/>
        </w:rPr>
        <w:t xml:space="preserve">    </w:t>
      </w:r>
      <w:r w:rsidR="00022850">
        <w:rPr>
          <w:rFonts w:hint="eastAsia"/>
          <w:sz w:val="28"/>
          <w:szCs w:val="28"/>
        </w:rPr>
        <w:t xml:space="preserve">     </w:t>
      </w:r>
      <w:r w:rsidR="00880544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880544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880544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022850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807E71" w:rsidRDefault="00807E71" w:rsidP="00022850">
      <w:pPr>
        <w:adjustRightInd w:val="0"/>
        <w:snapToGrid w:val="0"/>
        <w:spacing w:line="240" w:lineRule="atLeast"/>
        <w:ind w:rightChars="135" w:right="324"/>
        <w:jc w:val="both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  <w:bookmarkStart w:id="0" w:name="_GoBack"/>
      <w:r>
        <w:rPr>
          <w:rFonts w:ascii="標楷體" w:eastAsia="標楷體" w:hAnsi="標楷體" w:cs="Times New Roman" w:hint="eastAsia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590550</wp:posOffset>
            </wp:positionV>
            <wp:extent cx="5895975" cy="3379470"/>
            <wp:effectExtent l="0" t="0" r="9525" b="0"/>
            <wp:wrapTight wrapText="bothSides">
              <wp:wrapPolygon edited="0">
                <wp:start x="0" y="0"/>
                <wp:lineTo x="0" y="21430"/>
                <wp:lineTo x="21565" y="21430"/>
                <wp:lineTo x="2156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7E71" w:rsidRPr="00022850" w:rsidRDefault="00807E71" w:rsidP="00022850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</w:p>
    <w:sectPr w:rsidR="00807E71" w:rsidRPr="000228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A78" w:rsidRDefault="009C1A78" w:rsidP="00865259">
      <w:r>
        <w:separator/>
      </w:r>
    </w:p>
  </w:endnote>
  <w:endnote w:type="continuationSeparator" w:id="0">
    <w:p w:rsidR="009C1A78" w:rsidRDefault="009C1A78" w:rsidP="0086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A78" w:rsidRDefault="009C1A78" w:rsidP="00865259">
      <w:r>
        <w:separator/>
      </w:r>
    </w:p>
  </w:footnote>
  <w:footnote w:type="continuationSeparator" w:id="0">
    <w:p w:rsidR="009C1A78" w:rsidRDefault="009C1A78" w:rsidP="00865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F97"/>
    <w:rsid w:val="00002027"/>
    <w:rsid w:val="00022850"/>
    <w:rsid w:val="000311DE"/>
    <w:rsid w:val="00042E96"/>
    <w:rsid w:val="000D7DA8"/>
    <w:rsid w:val="00101C45"/>
    <w:rsid w:val="001249DF"/>
    <w:rsid w:val="0019126B"/>
    <w:rsid w:val="001974D7"/>
    <w:rsid w:val="001A76C3"/>
    <w:rsid w:val="00281CC9"/>
    <w:rsid w:val="00293D3F"/>
    <w:rsid w:val="002A0910"/>
    <w:rsid w:val="002B0902"/>
    <w:rsid w:val="00357043"/>
    <w:rsid w:val="00393F97"/>
    <w:rsid w:val="003B59FD"/>
    <w:rsid w:val="00404FA6"/>
    <w:rsid w:val="00433292"/>
    <w:rsid w:val="0044039D"/>
    <w:rsid w:val="004540F8"/>
    <w:rsid w:val="004E3416"/>
    <w:rsid w:val="00522A45"/>
    <w:rsid w:val="005E52C7"/>
    <w:rsid w:val="00681577"/>
    <w:rsid w:val="006852B0"/>
    <w:rsid w:val="00692527"/>
    <w:rsid w:val="0073093E"/>
    <w:rsid w:val="00780BFA"/>
    <w:rsid w:val="007D2FB7"/>
    <w:rsid w:val="00807E71"/>
    <w:rsid w:val="00865259"/>
    <w:rsid w:val="00880544"/>
    <w:rsid w:val="008B254A"/>
    <w:rsid w:val="008D3812"/>
    <w:rsid w:val="008F1606"/>
    <w:rsid w:val="0095532D"/>
    <w:rsid w:val="009C1A78"/>
    <w:rsid w:val="009E6E16"/>
    <w:rsid w:val="00A05102"/>
    <w:rsid w:val="00A17BCC"/>
    <w:rsid w:val="00A27C32"/>
    <w:rsid w:val="00A44371"/>
    <w:rsid w:val="00A9332C"/>
    <w:rsid w:val="00AE4D37"/>
    <w:rsid w:val="00BB256D"/>
    <w:rsid w:val="00CC3B6A"/>
    <w:rsid w:val="00CE0AA3"/>
    <w:rsid w:val="00CE482B"/>
    <w:rsid w:val="00D33548"/>
    <w:rsid w:val="00D35699"/>
    <w:rsid w:val="00D357E4"/>
    <w:rsid w:val="00E4259C"/>
    <w:rsid w:val="00E5718E"/>
    <w:rsid w:val="00E662A5"/>
    <w:rsid w:val="00ED2856"/>
    <w:rsid w:val="00F20496"/>
    <w:rsid w:val="00F54E0D"/>
    <w:rsid w:val="00F7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B731"/>
  <w15:chartTrackingRefBased/>
  <w15:docId w15:val="{15892885-32FC-4F96-B5B6-2A968FD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5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2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259"/>
    <w:rPr>
      <w:sz w:val="20"/>
      <w:szCs w:val="20"/>
    </w:rPr>
  </w:style>
  <w:style w:type="character" w:styleId="a7">
    <w:name w:val="Hyperlink"/>
    <w:basedOn w:val="a0"/>
    <w:uiPriority w:val="99"/>
    <w:unhideWhenUsed/>
    <w:rsid w:val="00865259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A9332C"/>
    <w:rPr>
      <w:color w:val="2B579A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0AA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73093E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7D2F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1974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974D7"/>
  </w:style>
  <w:style w:type="character" w:customStyle="1" w:styleId="af">
    <w:name w:val="註解文字 字元"/>
    <w:basedOn w:val="a0"/>
    <w:link w:val="ae"/>
    <w:uiPriority w:val="99"/>
    <w:semiHidden/>
    <w:rsid w:val="001974D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974D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97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39</cp:revision>
  <cp:lastPrinted>2019-03-13T03:19:00Z</cp:lastPrinted>
  <dcterms:created xsi:type="dcterms:W3CDTF">2017-04-21T06:36:00Z</dcterms:created>
  <dcterms:modified xsi:type="dcterms:W3CDTF">2019-09-17T01:16:00Z</dcterms:modified>
</cp:coreProperties>
</file>