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F" w:rsidRPr="000B4057" w:rsidRDefault="0031197F" w:rsidP="0031197F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F86B6C" wp14:editId="013DC8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31197F" w:rsidRPr="000B4057" w:rsidRDefault="0031197F" w:rsidP="0031197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1197F" w:rsidRPr="000B4057" w:rsidRDefault="0031197F" w:rsidP="0031197F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31197F" w:rsidRPr="000B4057" w:rsidRDefault="0031197F" w:rsidP="0031197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1197F" w:rsidRPr="000B4057" w:rsidRDefault="00B83FA9" w:rsidP="0031197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1197F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31197F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31197F" w:rsidRPr="000B4057" w:rsidRDefault="0031197F" w:rsidP="0031197F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31197F" w:rsidRPr="0067161C" w:rsidRDefault="0031197F" w:rsidP="0031197F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31197F" w:rsidRDefault="0031197F" w:rsidP="0031197F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31197F" w:rsidRPr="0067161C" w:rsidRDefault="0031197F" w:rsidP="0031197F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1197F" w:rsidRPr="0067161C" w:rsidRDefault="0031197F" w:rsidP="0031197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432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1197F" w:rsidRDefault="0031197F" w:rsidP="0031197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1197F" w:rsidRPr="00CD7986" w:rsidRDefault="0031197F" w:rsidP="0031197F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31197F" w:rsidRPr="00262145" w:rsidRDefault="0031197F" w:rsidP="00262145">
      <w:pPr>
        <w:adjustRightInd w:val="0"/>
        <w:snapToGrid w:val="0"/>
        <w:spacing w:line="32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262145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262145">
        <w:rPr>
          <w:rFonts w:ascii="Times New Roman" w:eastAsia="標楷體" w:hAnsi="Times New Roman" w:cs="Times New Roman"/>
          <w:sz w:val="30"/>
          <w:szCs w:val="30"/>
        </w:rPr>
        <w:t>：</w:t>
      </w:r>
      <w:r w:rsidRPr="00262145">
        <w:rPr>
          <w:rFonts w:ascii="Times New Roman" w:eastAsia="標楷體" w:hAnsi="Times New Roman" w:cs="Times New Roman" w:hint="eastAsia"/>
          <w:sz w:val="30"/>
          <w:szCs w:val="30"/>
        </w:rPr>
        <w:t>針對</w:t>
      </w:r>
      <w:proofErr w:type="gramStart"/>
      <w:r w:rsidRPr="00262145">
        <w:rPr>
          <w:rFonts w:ascii="Times New Roman" w:eastAsia="標楷體" w:hAnsi="Times New Roman" w:cs="Times New Roman" w:hint="eastAsia"/>
          <w:sz w:val="30"/>
          <w:szCs w:val="30"/>
        </w:rPr>
        <w:t>市售小包裝</w:t>
      </w:r>
      <w:proofErr w:type="gramEnd"/>
      <w:r w:rsidRPr="00262145">
        <w:rPr>
          <w:rFonts w:ascii="Times New Roman" w:eastAsia="標楷體" w:hAnsi="Times New Roman" w:cs="Times New Roman" w:hint="eastAsia"/>
          <w:sz w:val="30"/>
          <w:szCs w:val="30"/>
        </w:rPr>
        <w:t>食品之標示應符合</w:t>
      </w: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Pr="00262145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小包裝食品免一部標示規定</w:t>
      </w: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Pr="00262145">
        <w:rPr>
          <w:rFonts w:ascii="Times New Roman" w:eastAsia="標楷體" w:hAnsi="Times New Roman" w:cs="Times New Roman"/>
          <w:sz w:val="30"/>
          <w:szCs w:val="30"/>
        </w:rPr>
        <w:t>，</w:t>
      </w:r>
      <w:r w:rsidRPr="00262145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31197F" w:rsidRPr="00262145" w:rsidRDefault="0031197F" w:rsidP="00262145">
      <w:pPr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31197F" w:rsidRPr="00D82FD7" w:rsidRDefault="0031197F" w:rsidP="00603436">
      <w:pPr>
        <w:spacing w:line="260" w:lineRule="exact"/>
        <w:ind w:left="1365" w:hangingChars="455" w:hanging="1365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2145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、依據</w:t>
      </w:r>
      <w:r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衛生福利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部</w:t>
      </w:r>
      <w:r w:rsidR="00F0076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食品藥物管理署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F0076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12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F0076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8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F0076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FDA</w:t>
      </w:r>
      <w:proofErr w:type="gramStart"/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食字第</w:t>
      </w:r>
      <w:r w:rsidR="00F0076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1101303467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proofErr w:type="gramEnd"/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函辦理。</w:t>
      </w:r>
    </w:p>
    <w:p w:rsidR="0031197F" w:rsidRPr="00D82FD7" w:rsidRDefault="0031197F" w:rsidP="00603436">
      <w:pPr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</w:t>
      </w:r>
      <w:r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二、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為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充分保障消費者知的權益，並兼顧產業發展，對於小包裝食品，考量可供標示之面積較小，衛生</w:t>
      </w:r>
      <w:proofErr w:type="gramStart"/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福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利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部於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110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9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proofErr w:type="gramEnd"/>
      <w:r w:rsidR="00A8282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公告訂定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小包裝食品免一部標示規定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r w:rsidR="009A6B57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，規範最大表面積不足二十平方</w:t>
      </w:r>
      <w:proofErr w:type="gramStart"/>
      <w:r w:rsidR="009A6B57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公分之</w:t>
      </w:r>
      <w:proofErr w:type="gramEnd"/>
      <w:r w:rsidR="009A6B57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小包裝食品，</w:t>
      </w:r>
      <w:r w:rsidR="006F224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得豁免部分標示事項之規定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="00745C4E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惟仍應標示品名、有效日期、國內負責廠商資訊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、原產地及經中央主管機關公告應標示之原料原產地及</w:t>
      </w:r>
      <w:r w:rsidR="006F224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過敏原</w:t>
      </w:r>
      <w:proofErr w:type="gramStart"/>
      <w:r w:rsidR="006F224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等醒語</w:t>
      </w:r>
      <w:proofErr w:type="gramEnd"/>
      <w:r w:rsidR="006F224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資訊。</w:t>
      </w:r>
      <w:proofErr w:type="gramStart"/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另</w:t>
      </w:r>
      <w:proofErr w:type="gramEnd"/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，除品</w:t>
      </w:r>
      <w:r w:rsidR="003C455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名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及有效日期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外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之其他食品安全衛生管理法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proofErr w:type="gramStart"/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下稱食安</w:t>
      </w:r>
      <w:proofErr w:type="gramEnd"/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法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22</w:t>
      </w:r>
      <w:r w:rsidR="00202934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條應標示事項，</w:t>
      </w:r>
      <w:r w:rsidR="00203588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亦得於產品外包裝以電子化方式</w:t>
      </w:r>
      <w:r w:rsidR="00203588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(QR Code)</w:t>
      </w:r>
      <w:r w:rsidR="00203588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揭露。</w:t>
      </w:r>
      <w:r w:rsidR="0010555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前述標示方式，業者擇</w:t>
      </w:r>
      <w:proofErr w:type="gramStart"/>
      <w:r w:rsidR="0010555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一</w:t>
      </w:r>
      <w:proofErr w:type="gramEnd"/>
      <w:r w:rsidR="0010555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標示之。本項規定自公告後即日生效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="0010555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以產</w:t>
      </w:r>
      <w:r w:rsidR="00745C4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製</w:t>
      </w:r>
      <w:r w:rsidR="00105553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日期為主。</w:t>
      </w:r>
    </w:p>
    <w:p w:rsidR="00F6254C" w:rsidRPr="00D82FD7" w:rsidRDefault="00262145" w:rsidP="00603436">
      <w:pPr>
        <w:spacing w:line="26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</w:t>
      </w:r>
      <w:r w:rsidR="00E30EDE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三</w:t>
      </w:r>
      <w:r w:rsidR="00F6254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、前述規定及問答集可至衛生福利部食品藥管理</w:t>
      </w:r>
      <w:proofErr w:type="gramStart"/>
      <w:r w:rsidR="00F6254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署官網</w:t>
      </w:r>
      <w:proofErr w:type="gramEnd"/>
      <w:r w:rsidR="00F6254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首頁</w:t>
      </w:r>
      <w:r w:rsidR="00F6254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="00F6254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網址為</w:t>
      </w:r>
      <w:r w:rsidR="00F6254C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="00F6254C"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http://www.fda.gov.tw/)</w:t>
      </w:r>
      <w:r w:rsidR="00967A7B" w:rsidRPr="00D82FD7">
        <w:rPr>
          <w:rFonts w:ascii="標楷體" w:eastAsia="標楷體" w:hAnsi="標楷體" w:cs="Times New Roman" w:hint="eastAsia"/>
          <w:sz w:val="28"/>
          <w:szCs w:val="28"/>
          <w:lang w:val="zh-TW"/>
        </w:rPr>
        <w:t>&gt;公告資訊&gt;衛生福利部食品藥物管理署公告項下查詢。</w:t>
      </w:r>
    </w:p>
    <w:p w:rsidR="0031197F" w:rsidRPr="00D82FD7" w:rsidRDefault="0031197F" w:rsidP="00603436">
      <w:pPr>
        <w:autoSpaceDE w:val="0"/>
        <w:autoSpaceDN w:val="0"/>
        <w:adjustRightInd w:val="0"/>
        <w:spacing w:line="26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E30EDE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四</w:t>
      </w:r>
      <w:r w:rsidRPr="00D82FD7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針對小包裝食品，食品業者應提供清楚明確資訊，以供消費者選購之參考。</w:t>
      </w:r>
      <w:proofErr w:type="gramStart"/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市售小包裝</w:t>
      </w:r>
      <w:proofErr w:type="gramEnd"/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食品，</w:t>
      </w:r>
      <w:r w:rsidR="009C24D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如有標示不完整之情結，涉違反食安法第</w:t>
      </w:r>
      <w:r w:rsidR="009C24D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22</w:t>
      </w:r>
      <w:r w:rsidR="009C24D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條規定，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可處新臺幣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萬元以上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300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萬元以下罰</w:t>
      </w:r>
      <w:r w:rsidR="00C9415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鍰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；</w:t>
      </w:r>
      <w:proofErr w:type="gramStart"/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另倘涉及</w:t>
      </w:r>
      <w:proofErr w:type="gramEnd"/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標示不實，涉違反同法第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28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條規定，最</w:t>
      </w:r>
      <w:r w:rsidR="009C24D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重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可處新臺幣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400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萬元</w:t>
      </w:r>
      <w:r w:rsidR="009C24D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罰</w:t>
      </w:r>
      <w:r w:rsidR="00C9415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鍰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，產品依同法第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52</w:t>
      </w:r>
      <w:r w:rsidR="00812110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條限期回收改正。</w:t>
      </w:r>
    </w:p>
    <w:p w:rsidR="00E30EDE" w:rsidRPr="00D82FD7" w:rsidRDefault="00F84D99" w:rsidP="00603436">
      <w:pPr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</w:t>
      </w:r>
      <w:r w:rsidR="00E30EDE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五、衛生福利部食品藥物管理署提供食品標示法規諮詢服務專線</w:t>
      </w:r>
      <w:r w:rsidR="00BB7A19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0800-035-958</w:t>
      </w:r>
      <w:r w:rsidR="00BB7A19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、</w:t>
      </w:r>
      <w:r w:rsidR="00BB7A19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03-561-9633</w:t>
      </w:r>
      <w:r w:rsidR="00BB7A19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、</w:t>
      </w:r>
      <w:hyperlink r:id="rId6" w:history="1">
        <w:r w:rsidR="00F20DD9" w:rsidRPr="00D82FD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lang w:val="zh-TW"/>
          </w:rPr>
          <w:t>食品標示諮詢服務信箱</w:t>
        </w:r>
        <w:r w:rsidR="00F20DD9" w:rsidRPr="00D82FD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lang w:val="zh-TW"/>
          </w:rPr>
          <w:t>f</w:t>
        </w:r>
        <w:r w:rsidR="00F20DD9" w:rsidRPr="00D82FD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oodlabel@hibox.biz</w:t>
        </w:r>
      </w:hyperlink>
      <w:r w:rsidR="00F20DD9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及食品標示諮詢服務平台</w:t>
      </w:r>
      <w:hyperlink r:id="rId7" w:history="1">
        <w:r w:rsidR="00F20DD9" w:rsidRPr="00D82FD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lang w:val="zh-TW"/>
          </w:rPr>
          <w:t>h</w:t>
        </w:r>
        <w:r w:rsidR="00F20DD9" w:rsidRPr="00D82FD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ttp://www.foodlabel.org.tw</w:t>
        </w:r>
      </w:hyperlink>
      <w:r w:rsidR="00F20DD9" w:rsidRPr="00D82FD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，歡迎多加利用。</w:t>
      </w:r>
    </w:p>
    <w:p w:rsidR="0031197F" w:rsidRDefault="0031197F" w:rsidP="00603436">
      <w:pPr>
        <w:spacing w:line="260" w:lineRule="exact"/>
        <w:rPr>
          <w:sz w:val="30"/>
          <w:szCs w:val="30"/>
        </w:rPr>
      </w:pPr>
    </w:p>
    <w:p w:rsidR="00B83FA9" w:rsidRDefault="00B83FA9" w:rsidP="00603436">
      <w:pPr>
        <w:spacing w:line="260" w:lineRule="exact"/>
        <w:rPr>
          <w:sz w:val="30"/>
          <w:szCs w:val="30"/>
        </w:rPr>
      </w:pPr>
    </w:p>
    <w:p w:rsidR="00B83FA9" w:rsidRDefault="00B83FA9" w:rsidP="00603436">
      <w:pPr>
        <w:spacing w:line="260" w:lineRule="exact"/>
        <w:rPr>
          <w:rFonts w:hint="eastAsia"/>
          <w:sz w:val="30"/>
          <w:szCs w:val="30"/>
        </w:rPr>
      </w:pPr>
    </w:p>
    <w:p w:rsidR="00B83FA9" w:rsidRPr="00B83FA9" w:rsidRDefault="00B83FA9" w:rsidP="00B83FA9">
      <w:pPr>
        <w:spacing w:line="1100" w:lineRule="exact"/>
        <w:jc w:val="center"/>
        <w:rPr>
          <w:rFonts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83FA9" w:rsidRPr="00B83FA9" w:rsidRDefault="00B83FA9">
      <w:pPr>
        <w:spacing w:line="1100" w:lineRule="exact"/>
        <w:jc w:val="center"/>
        <w:rPr>
          <w:sz w:val="30"/>
          <w:szCs w:val="30"/>
        </w:rPr>
      </w:pPr>
    </w:p>
    <w:sectPr w:rsidR="00B83FA9" w:rsidRPr="00B83FA9" w:rsidSect="00B83F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F"/>
    <w:rsid w:val="00105553"/>
    <w:rsid w:val="00202934"/>
    <w:rsid w:val="00203588"/>
    <w:rsid w:val="00262145"/>
    <w:rsid w:val="0031197F"/>
    <w:rsid w:val="003C455F"/>
    <w:rsid w:val="00603436"/>
    <w:rsid w:val="006F2243"/>
    <w:rsid w:val="00745C4E"/>
    <w:rsid w:val="00812110"/>
    <w:rsid w:val="00967A7B"/>
    <w:rsid w:val="009A6B57"/>
    <w:rsid w:val="009C24D5"/>
    <w:rsid w:val="00A82823"/>
    <w:rsid w:val="00B83FA9"/>
    <w:rsid w:val="00BB7A19"/>
    <w:rsid w:val="00C94157"/>
    <w:rsid w:val="00D82FD7"/>
    <w:rsid w:val="00E30EDE"/>
    <w:rsid w:val="00F0076C"/>
    <w:rsid w:val="00F20DD9"/>
    <w:rsid w:val="00F6254C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BEAF"/>
  <w15:chartTrackingRefBased/>
  <w15:docId w15:val="{FAFD1DD1-D0F3-4C85-A766-D010129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97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2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odlabel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135;&#21697;&#27161;&#31034;&#35566;&#35426;&#26381;&#21209;&#20449;&#31665;foodlabel@hibox.biz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26</cp:revision>
  <dcterms:created xsi:type="dcterms:W3CDTF">2021-12-13T07:38:00Z</dcterms:created>
  <dcterms:modified xsi:type="dcterms:W3CDTF">2021-12-14T01:10:00Z</dcterms:modified>
</cp:coreProperties>
</file>