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77A" w:rsidRDefault="0073177A" w:rsidP="0073177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312907" wp14:editId="10FFDDA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3177A" w:rsidRDefault="0073177A" w:rsidP="0073177A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3177A" w:rsidRDefault="0073177A" w:rsidP="0073177A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73177A" w:rsidRDefault="0073177A" w:rsidP="0073177A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3177A" w:rsidRDefault="00DE6FAC" w:rsidP="0073177A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73177A" w:rsidRPr="0073177A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73177A" w:rsidRPr="0073177A">
        <w:rPr>
          <w:rFonts w:ascii="標楷體" w:eastAsia="標楷體" w:hAnsi="標楷體" w:cs="Times New Roman" w:hint="eastAsia"/>
        </w:rPr>
        <w:t xml:space="preserve"> </w:t>
      </w:r>
      <w:r w:rsidR="0073177A">
        <w:rPr>
          <w:rFonts w:ascii="標楷體" w:eastAsia="標楷體" w:hAnsi="標楷體" w:cs="Times New Roman" w:hint="eastAsia"/>
        </w:rPr>
        <w:t xml:space="preserve">    www.taoyuanproduct.org</w:t>
      </w:r>
    </w:p>
    <w:p w:rsidR="0073177A" w:rsidRDefault="0073177A" w:rsidP="0073177A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3177A" w:rsidRDefault="0073177A" w:rsidP="0073177A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73177A" w:rsidRPr="00EA149F" w:rsidRDefault="0073177A" w:rsidP="0073177A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Pr="0016104B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英屬維京群島商奧麗雅生醫股份有限公司 台灣分公司</w:t>
      </w:r>
    </w:p>
    <w:p w:rsidR="0073177A" w:rsidRDefault="0073177A" w:rsidP="0073177A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73177A" w:rsidRDefault="0073177A" w:rsidP="0073177A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73177A" w:rsidRDefault="0073177A" w:rsidP="0073177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發文字號：桃貿豐字第</w:t>
      </w:r>
      <w:r>
        <w:rPr>
          <w:rFonts w:ascii="標楷體" w:eastAsia="標楷體" w:hAnsi="標楷體" w:cs="Times New Roman"/>
          <w:color w:val="000000"/>
          <w:szCs w:val="24"/>
        </w:rPr>
        <w:t>201</w:t>
      </w:r>
      <w:r w:rsidR="00B40930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="00B40930"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73177A" w:rsidRDefault="0073177A" w:rsidP="0073177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件：如文</w:t>
      </w:r>
    </w:p>
    <w:p w:rsidR="0073177A" w:rsidRPr="00FC7948" w:rsidRDefault="0073177A" w:rsidP="0073177A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73177A" w:rsidRPr="003241B5" w:rsidRDefault="0073177A" w:rsidP="00A3522B">
      <w:pPr>
        <w:adjustRightInd w:val="0"/>
        <w:snapToGrid w:val="0"/>
        <w:spacing w:line="440" w:lineRule="exact"/>
        <w:ind w:left="1134" w:rightChars="135" w:right="324" w:hangingChars="405" w:hanging="113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="00814672">
        <w:rPr>
          <w:rFonts w:ascii="標楷體" w:eastAsia="標楷體" w:hAnsi="標楷體" w:cs="Arial Unicode MS" w:hint="eastAsia"/>
          <w:sz w:val="28"/>
          <w:szCs w:val="28"/>
          <w:lang w:val="zh-TW"/>
        </w:rPr>
        <w:t>:</w:t>
      </w:r>
      <w:r w:rsidR="00814672"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財團法人工業技術研究院</w:t>
      </w:r>
      <w:r w:rsidR="00814672">
        <w:rPr>
          <w:rFonts w:ascii="標楷體" w:eastAsia="標楷體" w:hAnsi="標楷體" w:cs="Arial Unicode MS" w:hint="eastAsia"/>
          <w:sz w:val="28"/>
          <w:szCs w:val="28"/>
          <w:lang w:val="zh-TW"/>
        </w:rPr>
        <w:t>辦理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年度醫療器材業者</w:t>
      </w:r>
      <w:bookmarkStart w:id="0" w:name="_Hlk42585782"/>
      <w:r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97145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國產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醫療器材</w:t>
      </w:r>
      <w:r w:rsidR="0097145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業者基本資訊及醫療器材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品質管理系統</w:t>
      </w:r>
      <w:r w:rsidR="00A3522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造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準則</w:t>
      </w:r>
      <w:r w:rsidR="0097145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問卷調查</w:t>
      </w:r>
      <w:r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bookmarkEnd w:id="0"/>
      <w:r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，請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查照。</w:t>
      </w:r>
    </w:p>
    <w:p w:rsidR="0073177A" w:rsidRPr="001B6379" w:rsidRDefault="0073177A" w:rsidP="0073177A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73177A" w:rsidRPr="00D95FF3" w:rsidRDefault="0073177A" w:rsidP="00814672">
      <w:pPr>
        <w:spacing w:line="400" w:lineRule="exact"/>
        <w:ind w:left="991" w:hangingChars="354" w:hanging="991"/>
        <w:rPr>
          <w:rFonts w:ascii="標楷體" w:eastAsia="標楷體" w:hAnsi="標楷體" w:cs="Arial Unicode MS"/>
          <w:sz w:val="28"/>
          <w:szCs w:val="28"/>
          <w:lang w:val="zh-TW"/>
        </w:rPr>
      </w:pPr>
      <w:r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D95FF3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ㄧ、依財團法人工業技術研究院工研量字第10900099</w:t>
      </w:r>
      <w:r w:rsidR="00277FF3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>5號函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　　　　</w:t>
      </w:r>
      <w:r w:rsidR="007627FB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　　　　　</w:t>
      </w:r>
      <w:r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辦理。  </w:t>
      </w:r>
      <w:r w:rsidRPr="00D95FF3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:rsidR="0073177A" w:rsidRPr="00D95FF3" w:rsidRDefault="00B30C53" w:rsidP="0073177A">
      <w:pPr>
        <w:suppressAutoHyphens/>
        <w:wordWrap w:val="0"/>
        <w:spacing w:line="0" w:lineRule="atLeast"/>
        <w:ind w:leftChars="295" w:left="963" w:hangingChars="91" w:hanging="255"/>
        <w:rPr>
          <w:rFonts w:ascii="標楷體" w:eastAsia="標楷體" w:hAnsi="標楷體" w:cs="Arial Unicode MS"/>
          <w:spacing w:val="-2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</w:t>
      </w:r>
      <w:r w:rsidR="0073177A" w:rsidRPr="00D95FF3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7627FB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食品藥物管理署已於</w:t>
      </w:r>
      <w:r w:rsidR="00D6598A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109年3月31</w:t>
      </w:r>
      <w:r w:rsidR="00171E65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日</w:t>
      </w:r>
      <w:r w:rsidR="007627FB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預告</w:t>
      </w:r>
      <w:r w:rsidR="0073177A" w:rsidRPr="00D95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及「醫療器材品質管理系統準則」草案，使</w:t>
      </w:r>
      <w:r w:rsidR="007627F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國產</w:t>
      </w:r>
      <w:r w:rsidR="0073177A" w:rsidRPr="00D95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醫療器材業者</w:t>
      </w:r>
      <w:r w:rsidR="007627FB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符合最新</w:t>
      </w:r>
      <w:r w:rsidR="007627FB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ISO13485:2016標準。鑑此，</w:t>
      </w:r>
      <w:r w:rsidR="003623D6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衛生福利部食品藥物管理署於本年度委託工研院量測中心執行</w:t>
      </w:r>
      <w:r w:rsidR="003623D6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3623D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國產醫療器材</w:t>
      </w:r>
      <w:r w:rsidR="004A7A5E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製造</w:t>
      </w:r>
      <w:r w:rsidR="003623D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業者基本資訊及醫療器材品質管理系統造準則問卷調查</w:t>
      </w:r>
      <w:r w:rsidR="003623D6" w:rsidRPr="008165DF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 w:rsidR="0031644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，期透過此問卷分析推行醫療器材品質管理系統準</w:t>
      </w:r>
      <w:r w:rsidR="00760AE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則</w:t>
      </w:r>
      <w:r w:rsidR="0031644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及相關新法制度對國內產業之影響，</w:t>
      </w:r>
      <w:r w:rsidR="00633FE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敬請各相關會員參加提供</w:t>
      </w:r>
      <w:r w:rsidR="0081467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寶貴</w:t>
      </w:r>
      <w:r w:rsidR="00633FE9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建</w:t>
      </w:r>
      <w:r w:rsidR="00E50918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言</w:t>
      </w:r>
      <w:r w:rsidR="00316446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73177A" w:rsidRPr="00D95FF3" w:rsidRDefault="00B30C53" w:rsidP="0073177A">
      <w:pPr>
        <w:suppressAutoHyphens/>
        <w:wordWrap w:val="0"/>
        <w:spacing w:line="0" w:lineRule="atLeast"/>
        <w:ind w:leftChars="295" w:left="1058" w:hangingChars="146" w:hanging="350"/>
        <w:rPr>
          <w:rFonts w:ascii="標楷體" w:eastAsia="標楷體" w:hAnsi="標楷體" w:cs="Arial Unicode MS"/>
          <w:kern w:val="0"/>
          <w:sz w:val="28"/>
          <w:szCs w:val="28"/>
        </w:rPr>
      </w:pPr>
      <w:r>
        <w:rPr>
          <w:rFonts w:ascii="標楷體" w:eastAsia="標楷體" w:hAnsi="標楷體" w:cs="Arial Unicode MS" w:hint="eastAsia"/>
          <w:spacing w:val="-20"/>
          <w:sz w:val="28"/>
          <w:szCs w:val="28"/>
        </w:rPr>
        <w:t>三</w:t>
      </w:r>
      <w:r w:rsidR="0073177A" w:rsidRPr="00D95FF3">
        <w:rPr>
          <w:rFonts w:ascii="標楷體" w:eastAsia="標楷體" w:hAnsi="標楷體" w:cs="Arial Unicode MS" w:hint="eastAsia"/>
          <w:spacing w:val="-20"/>
          <w:sz w:val="28"/>
          <w:szCs w:val="28"/>
        </w:rPr>
        <w:t>、</w:t>
      </w:r>
      <w:r w:rsidR="00760AE1">
        <w:rPr>
          <w:rFonts w:ascii="標楷體" w:eastAsia="標楷體" w:hAnsi="標楷體" w:cs="Arial Unicode MS" w:hint="eastAsia"/>
          <w:spacing w:val="-20"/>
          <w:sz w:val="28"/>
          <w:szCs w:val="28"/>
        </w:rPr>
        <w:t>我國醫療器材製</w:t>
      </w:r>
      <w:r w:rsidR="00EA680B">
        <w:rPr>
          <w:rFonts w:ascii="標楷體" w:eastAsia="標楷體" w:hAnsi="標楷體" w:cs="Arial Unicode MS" w:hint="eastAsia"/>
          <w:spacing w:val="-20"/>
          <w:sz w:val="28"/>
          <w:szCs w:val="28"/>
        </w:rPr>
        <w:t>造</w:t>
      </w:r>
      <w:r w:rsidR="00760AE1">
        <w:rPr>
          <w:rFonts w:ascii="標楷體" w:eastAsia="標楷體" w:hAnsi="標楷體" w:cs="Arial Unicode MS" w:hint="eastAsia"/>
          <w:spacing w:val="-20"/>
          <w:sz w:val="28"/>
          <w:szCs w:val="28"/>
        </w:rPr>
        <w:t>業者參加問卷調查活動並填寫完整問卷，及可</w:t>
      </w:r>
      <w:r w:rsidR="00C12935">
        <w:rPr>
          <w:rFonts w:ascii="標楷體" w:eastAsia="標楷體" w:hAnsi="標楷體" w:cs="Arial Unicode MS" w:hint="eastAsia"/>
          <w:spacing w:val="-20"/>
          <w:sz w:val="28"/>
          <w:szCs w:val="28"/>
        </w:rPr>
        <w:t>獲得新版</w:t>
      </w:r>
      <w:r w:rsidR="00C12935" w:rsidRPr="00D95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「</w:t>
      </w:r>
      <w:r w:rsidR="00C1293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醫療器材法規彙編手冊</w:t>
      </w:r>
      <w:r w:rsidR="00C12935" w:rsidRPr="00D95FF3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」</w:t>
      </w:r>
      <w:r w:rsidR="00C12935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1份，隨函檢附活動簡章。</w:t>
      </w:r>
    </w:p>
    <w:p w:rsidR="00EA680B" w:rsidRDefault="0073177A" w:rsidP="0073177A">
      <w:pPr>
        <w:suppressAutoHyphens/>
        <w:spacing w:line="0" w:lineRule="atLeast"/>
        <w:ind w:leftChars="60" w:left="1116" w:hangingChars="347" w:hanging="972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D95FF3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</w:t>
      </w:r>
      <w:r w:rsidR="00B30C5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四</w:t>
      </w:r>
      <w:r w:rsidRPr="00D95F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、</w:t>
      </w:r>
      <w:r w:rsidR="00EA680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問卷填寫截止日期；109年6月30日止。</w:t>
      </w:r>
    </w:p>
    <w:p w:rsidR="0073177A" w:rsidRPr="00D95FF3" w:rsidRDefault="00B30C53" w:rsidP="00EA680B">
      <w:pPr>
        <w:suppressAutoHyphens/>
        <w:spacing w:line="0" w:lineRule="atLeast"/>
        <w:ind w:leftChars="295" w:left="1114" w:hangingChars="145" w:hanging="406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五</w:t>
      </w:r>
      <w:r w:rsidR="00EA680B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、</w:t>
      </w:r>
      <w:r w:rsidR="0073177A" w:rsidRPr="00D95F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如有任何疑問，請洽本案承辦單位工業技術研究案量測技術發展中心：</w:t>
      </w:r>
      <w:r w:rsidR="00ED1FD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黃靈誼小姐</w:t>
      </w:r>
      <w:r w:rsidR="0073177A" w:rsidRPr="00D95F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電話:03-573</w:t>
      </w:r>
      <w:r w:rsidR="00ED1FD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2254</w:t>
      </w:r>
      <w:r w:rsidR="0073177A" w:rsidRPr="00D95F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；</w:t>
      </w:r>
    </w:p>
    <w:p w:rsidR="0073177A" w:rsidRDefault="0073177A" w:rsidP="0073177A">
      <w:pPr>
        <w:suppressAutoHyphens/>
        <w:spacing w:line="0" w:lineRule="atLeast"/>
        <w:ind w:leftChars="236" w:left="1115" w:hangingChars="196" w:hanging="549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D95F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</w:t>
      </w:r>
      <w:r w:rsidRPr="00D95FF3">
        <w:rPr>
          <w:rFonts w:ascii="標楷體" w:eastAsia="標楷體" w:hAnsi="標楷體" w:cs="Arial Unicode MS" w:hint="eastAsia"/>
          <w:kern w:val="0"/>
          <w:sz w:val="28"/>
          <w:szCs w:val="28"/>
        </w:rPr>
        <w:t>E-</w:t>
      </w:r>
      <w:r w:rsidRPr="00D95FF3">
        <w:rPr>
          <w:rFonts w:ascii="標楷體" w:eastAsia="標楷體" w:hAnsi="標楷體" w:cs="Arial Unicode MS"/>
          <w:kern w:val="0"/>
          <w:sz w:val="28"/>
          <w:szCs w:val="28"/>
        </w:rPr>
        <w:t>mail:itri53</w:t>
      </w:r>
      <w:r w:rsidR="00ED1FD3">
        <w:rPr>
          <w:rFonts w:ascii="標楷體" w:eastAsia="標楷體" w:hAnsi="標楷體" w:cs="Arial Unicode MS" w:hint="eastAsia"/>
          <w:kern w:val="0"/>
          <w:sz w:val="28"/>
          <w:szCs w:val="28"/>
        </w:rPr>
        <w:t>5550</w:t>
      </w:r>
      <w:r w:rsidRPr="00D95FF3">
        <w:rPr>
          <w:rFonts w:ascii="標楷體" w:eastAsia="標楷體" w:hAnsi="標楷體" w:cs="Arial Unicode MS"/>
          <w:kern w:val="0"/>
          <w:sz w:val="28"/>
          <w:szCs w:val="28"/>
        </w:rPr>
        <w:t>3@itri.org.tw</w:t>
      </w:r>
      <w:r w:rsidRPr="00D95FF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。</w:t>
      </w:r>
    </w:p>
    <w:p w:rsidR="003A728F" w:rsidRDefault="003A728F" w:rsidP="0073177A">
      <w:pPr>
        <w:suppressAutoHyphens/>
        <w:spacing w:line="0" w:lineRule="atLeast"/>
        <w:ind w:leftChars="236" w:left="1115" w:hangingChars="196" w:hanging="549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</w:p>
    <w:p w:rsidR="003A728F" w:rsidRPr="00DB41E1" w:rsidRDefault="003A728F" w:rsidP="003A728F">
      <w:pPr>
        <w:suppressAutoHyphens/>
        <w:spacing w:line="0" w:lineRule="atLeast"/>
        <w:ind w:left="1120" w:hangingChars="400" w:hanging="112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D521B5">
        <w:rPr>
          <w:rFonts w:ascii="標楷體" w:eastAsia="標楷體" w:hAnsi="標楷體" w:cs="Arial Unicode MS"/>
          <w:kern w:val="0"/>
          <w:sz w:val="28"/>
          <w:szCs w:val="28"/>
        </w:rPr>
        <w:t xml:space="preserve">  </w:t>
      </w:r>
      <w:bookmarkStart w:id="1" w:name="_GoBack"/>
      <w:bookmarkEnd w:id="1"/>
    </w:p>
    <w:p w:rsidR="003E6D07" w:rsidRPr="00DB41E1" w:rsidRDefault="003E6D07" w:rsidP="003E6D07">
      <w:pPr>
        <w:suppressAutoHyphens/>
        <w:spacing w:line="0" w:lineRule="atLeast"/>
        <w:ind w:left="1120" w:hangingChars="400" w:hanging="1120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D521B5">
        <w:rPr>
          <w:rFonts w:ascii="標楷體" w:eastAsia="標楷體" w:hAnsi="標楷體" w:cs="Arial Unicode MS"/>
          <w:kern w:val="0"/>
          <w:sz w:val="28"/>
          <w:szCs w:val="28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73177A" w:rsidRDefault="0073177A"/>
    <w:sectPr w:rsidR="0073177A" w:rsidSect="003A728F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FAC" w:rsidRDefault="00DE6FAC" w:rsidP="00277FF3">
      <w:r>
        <w:separator/>
      </w:r>
    </w:p>
  </w:endnote>
  <w:endnote w:type="continuationSeparator" w:id="0">
    <w:p w:rsidR="00DE6FAC" w:rsidRDefault="00DE6FAC" w:rsidP="0027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FAC" w:rsidRDefault="00DE6FAC" w:rsidP="00277FF3">
      <w:r>
        <w:separator/>
      </w:r>
    </w:p>
  </w:footnote>
  <w:footnote w:type="continuationSeparator" w:id="0">
    <w:p w:rsidR="00DE6FAC" w:rsidRDefault="00DE6FAC" w:rsidP="00277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7A"/>
    <w:rsid w:val="0007723B"/>
    <w:rsid w:val="00171E65"/>
    <w:rsid w:val="00277FF3"/>
    <w:rsid w:val="00316446"/>
    <w:rsid w:val="003623D6"/>
    <w:rsid w:val="003A728F"/>
    <w:rsid w:val="003E6D07"/>
    <w:rsid w:val="004A7A5E"/>
    <w:rsid w:val="00633FE9"/>
    <w:rsid w:val="0073177A"/>
    <w:rsid w:val="00751FD4"/>
    <w:rsid w:val="00760AE1"/>
    <w:rsid w:val="007627FB"/>
    <w:rsid w:val="00814672"/>
    <w:rsid w:val="0097145B"/>
    <w:rsid w:val="00A3522B"/>
    <w:rsid w:val="00B30C53"/>
    <w:rsid w:val="00B40930"/>
    <w:rsid w:val="00C12935"/>
    <w:rsid w:val="00C43A2D"/>
    <w:rsid w:val="00D6598A"/>
    <w:rsid w:val="00DE6FAC"/>
    <w:rsid w:val="00E50918"/>
    <w:rsid w:val="00EA680B"/>
    <w:rsid w:val="00ED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97FFB"/>
  <w15:chartTrackingRefBased/>
  <w15:docId w15:val="{BE83ED32-49DA-4A12-BDE6-16AEC15F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7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77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77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7F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77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7F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20</cp:revision>
  <cp:lastPrinted>2020-06-09T03:27:00Z</cp:lastPrinted>
  <dcterms:created xsi:type="dcterms:W3CDTF">2020-06-09T01:49:00Z</dcterms:created>
  <dcterms:modified xsi:type="dcterms:W3CDTF">2020-06-09T03:27:00Z</dcterms:modified>
</cp:coreProperties>
</file>