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4B4B01"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Pr="00EA149F"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DC1EAF">
        <w:rPr>
          <w:rFonts w:ascii="標楷體" w:eastAsia="標楷體" w:hAnsi="標楷體" w:cs="Times New Roman" w:hint="eastAsia"/>
          <w:color w:val="000000"/>
          <w:sz w:val="36"/>
          <w:szCs w:val="36"/>
        </w:rPr>
        <w:t>各相關會員</w:t>
      </w:r>
    </w:p>
    <w:p w:rsidR="00A54986" w:rsidRDefault="00A54986" w:rsidP="00040D3B">
      <w:pPr>
        <w:spacing w:line="320" w:lineRule="exact"/>
        <w:ind w:rightChars="-100" w:right="-240"/>
        <w:rPr>
          <w:rFonts w:ascii="標楷體" w:eastAsia="標楷體" w:hAnsi="標楷體" w:cs="Times New Roman"/>
          <w:color w:val="000000"/>
          <w:szCs w:val="24"/>
        </w:rPr>
      </w:pPr>
      <w:bookmarkStart w:id="0" w:name="_GoBack"/>
      <w:bookmarkEnd w:id="0"/>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743AA6">
        <w:rPr>
          <w:rFonts w:ascii="標楷體" w:eastAsia="標楷體" w:hAnsi="標楷體" w:cs="Times New Roman" w:hint="eastAsia"/>
          <w:color w:val="000000"/>
          <w:szCs w:val="24"/>
        </w:rPr>
        <w:t>5</w:t>
      </w:r>
      <w:r>
        <w:rPr>
          <w:rFonts w:ascii="標楷體" w:eastAsia="標楷體" w:hAnsi="標楷體" w:cs="Times New Roman" w:hint="eastAsia"/>
          <w:color w:val="000000"/>
          <w:szCs w:val="24"/>
        </w:rPr>
        <w:t>月</w:t>
      </w:r>
      <w:r w:rsidR="00726C57">
        <w:rPr>
          <w:rFonts w:ascii="標楷體" w:eastAsia="標楷體" w:hAnsi="標楷體" w:cs="Times New Roman" w:hint="eastAsia"/>
          <w:color w:val="000000"/>
          <w:szCs w:val="24"/>
        </w:rPr>
        <w:t>1</w:t>
      </w:r>
      <w:r w:rsidR="00DB577A">
        <w:rPr>
          <w:rFonts w:ascii="標楷體" w:eastAsia="標楷體" w:hAnsi="標楷體" w:cs="Times New Roman"/>
          <w:color w:val="000000"/>
          <w:szCs w:val="24"/>
        </w:rPr>
        <w:t>8</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字第</w:t>
      </w:r>
      <w:r w:rsidR="00F26065">
        <w:rPr>
          <w:rFonts w:ascii="標楷體" w:eastAsia="標楷體" w:hAnsi="標楷體" w:cs="Times New Roman"/>
          <w:color w:val="000000"/>
          <w:szCs w:val="24"/>
        </w:rPr>
        <w:t>20</w:t>
      </w:r>
      <w:r w:rsidR="008110C1">
        <w:rPr>
          <w:rFonts w:ascii="標楷體" w:eastAsia="標楷體" w:hAnsi="標楷體" w:cs="Times New Roman"/>
          <w:color w:val="000000"/>
          <w:szCs w:val="24"/>
        </w:rPr>
        <w:t>1</w:t>
      </w:r>
      <w:r w:rsidR="00C85D1D">
        <w:rPr>
          <w:rFonts w:ascii="標楷體" w:eastAsia="標楷體" w:hAnsi="標楷體" w:cs="Times New Roman"/>
          <w:color w:val="000000"/>
          <w:szCs w:val="24"/>
        </w:rPr>
        <w:t>3</w:t>
      </w:r>
      <w:r w:rsidR="00DB577A">
        <w:rPr>
          <w:rFonts w:ascii="標楷體" w:eastAsia="標楷體" w:hAnsi="標楷體" w:cs="Times New Roman"/>
          <w:color w:val="000000"/>
          <w:szCs w:val="24"/>
        </w:rPr>
        <w:t>3</w:t>
      </w:r>
      <w:r>
        <w:rPr>
          <w:rFonts w:ascii="標楷體" w:eastAsia="標楷體" w:hAnsi="標楷體" w:cs="Times New Roman" w:hint="eastAsia"/>
          <w:color w:val="000000"/>
          <w:szCs w:val="24"/>
        </w:rPr>
        <w:t>號</w:t>
      </w:r>
    </w:p>
    <w:p w:rsidR="005467E9"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1E53A5">
        <w:rPr>
          <w:rFonts w:ascii="標楷體" w:eastAsia="標楷體" w:hAnsi="標楷體" w:cs="Times New Roman" w:hint="eastAsia"/>
          <w:color w:val="000000"/>
          <w:szCs w:val="24"/>
        </w:rPr>
        <w:t>隨文</w:t>
      </w:r>
    </w:p>
    <w:p w:rsidR="003241B5" w:rsidRPr="004360D0" w:rsidRDefault="003241B5" w:rsidP="00FC7948">
      <w:pPr>
        <w:spacing w:line="320" w:lineRule="exact"/>
        <w:ind w:left="2250" w:rightChars="-100" w:right="-240" w:hangingChars="1250" w:hanging="2250"/>
        <w:rPr>
          <w:rFonts w:ascii="標楷體" w:eastAsia="標楷體" w:hAnsi="標楷體" w:cs="Times New Roman"/>
          <w:color w:val="000000"/>
          <w:sz w:val="18"/>
          <w:szCs w:val="18"/>
        </w:rPr>
      </w:pPr>
    </w:p>
    <w:p w:rsidR="003241B5" w:rsidRPr="00B879BC" w:rsidRDefault="002B21D5" w:rsidP="00B879BC">
      <w:pPr>
        <w:adjustRightInd w:val="0"/>
        <w:snapToGrid w:val="0"/>
        <w:spacing w:line="400" w:lineRule="exact"/>
        <w:ind w:left="1400" w:rightChars="135" w:right="324" w:hangingChars="500" w:hanging="1400"/>
        <w:jc w:val="both"/>
        <w:rPr>
          <w:rFonts w:ascii="標楷體" w:eastAsia="標楷體" w:hAnsi="標楷體" w:cs="Times New Roman"/>
          <w:color w:val="000000" w:themeColor="text1"/>
          <w:sz w:val="28"/>
          <w:szCs w:val="28"/>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DB577A" w:rsidRPr="00B879BC">
        <w:rPr>
          <w:rFonts w:ascii="標楷體" w:eastAsia="標楷體" w:hAnsi="標楷體" w:cs="Arial Unicode MS" w:hint="eastAsia"/>
          <w:sz w:val="28"/>
          <w:szCs w:val="28"/>
          <w:lang w:val="zh-TW"/>
        </w:rPr>
        <w:t>自即日起實施「食品容器具(產品中分類</w:t>
      </w:r>
      <w:r w:rsidR="00DB577A" w:rsidRPr="00B879BC">
        <w:rPr>
          <w:rFonts w:ascii="標楷體" w:eastAsia="標楷體" w:hAnsi="標楷體" w:cs="Arial Unicode MS"/>
          <w:sz w:val="28"/>
          <w:szCs w:val="28"/>
          <w:lang w:val="zh-TW"/>
        </w:rPr>
        <w:t>FE01)</w:t>
      </w:r>
      <w:r w:rsidR="00DB577A" w:rsidRPr="00B879BC">
        <w:rPr>
          <w:rFonts w:ascii="標楷體" w:eastAsia="標楷體" w:hAnsi="標楷體" w:cs="Arial Unicode MS" w:hint="eastAsia"/>
          <w:sz w:val="28"/>
          <w:szCs w:val="28"/>
          <w:lang w:val="zh-TW"/>
        </w:rPr>
        <w:t>」及「生鮮冷藏冷凍蔬菜、水果(中分類F</w:t>
      </w:r>
      <w:r w:rsidR="00DB577A" w:rsidRPr="00B879BC">
        <w:rPr>
          <w:rFonts w:ascii="標楷體" w:eastAsia="標楷體" w:hAnsi="標楷體" w:cs="Arial Unicode MS"/>
          <w:sz w:val="28"/>
          <w:szCs w:val="28"/>
          <w:lang w:val="zh-TW"/>
        </w:rPr>
        <w:t>C11</w:t>
      </w:r>
      <w:r w:rsidR="00DB577A" w:rsidRPr="00B879BC">
        <w:rPr>
          <w:rFonts w:ascii="標楷體" w:eastAsia="標楷體" w:hAnsi="標楷體" w:cs="Arial Unicode MS" w:hint="eastAsia"/>
          <w:sz w:val="28"/>
          <w:szCs w:val="28"/>
          <w:lang w:val="zh-TW"/>
        </w:rPr>
        <w:t>及</w:t>
      </w:r>
      <w:r w:rsidR="00DB577A" w:rsidRPr="00B879BC">
        <w:rPr>
          <w:rFonts w:ascii="標楷體" w:eastAsia="標楷體" w:hAnsi="標楷體" w:cs="Arial Unicode MS"/>
          <w:sz w:val="28"/>
          <w:szCs w:val="28"/>
          <w:lang w:val="zh-TW"/>
        </w:rPr>
        <w:t>FC12</w:t>
      </w:r>
      <w:r w:rsidR="00DB577A" w:rsidRPr="00B879BC">
        <w:rPr>
          <w:rFonts w:ascii="標楷體" w:eastAsia="標楷體" w:hAnsi="標楷體" w:cs="Arial Unicode MS" w:hint="eastAsia"/>
          <w:sz w:val="28"/>
          <w:szCs w:val="28"/>
          <w:lang w:val="zh-TW"/>
        </w:rPr>
        <w:t>，單一品項之貨品分類號列</w:t>
      </w:r>
      <w:r w:rsidR="00DB577A" w:rsidRPr="00B879BC">
        <w:rPr>
          <w:rFonts w:ascii="標楷體" w:eastAsia="標楷體" w:hAnsi="標楷體" w:cs="Arial Unicode MS"/>
          <w:sz w:val="28"/>
          <w:szCs w:val="28"/>
          <w:lang w:val="zh-TW"/>
        </w:rPr>
        <w:t>)</w:t>
      </w:r>
      <w:r w:rsidR="00DB577A" w:rsidRPr="00B879BC">
        <w:rPr>
          <w:rFonts w:ascii="標楷體" w:eastAsia="標楷體" w:hAnsi="標楷體" w:cs="Arial Unicode MS" w:hint="eastAsia"/>
          <w:sz w:val="28"/>
          <w:szCs w:val="28"/>
          <w:lang w:val="zh-TW"/>
        </w:rPr>
        <w:t>」</w:t>
      </w:r>
      <w:r w:rsidR="00DB577A" w:rsidRPr="00B879BC">
        <w:rPr>
          <w:rFonts w:ascii="標楷體" w:eastAsia="標楷體" w:hAnsi="標楷體" w:cs="Arial Unicode MS" w:hint="eastAsia"/>
          <w:spacing w:val="-20"/>
          <w:sz w:val="28"/>
          <w:szCs w:val="28"/>
          <w:lang w:val="zh-TW"/>
        </w:rPr>
        <w:t>輸入查驗電子化審查措施(適用產品及作業說明如附件)</w:t>
      </w:r>
      <w:r w:rsidR="00884EFC" w:rsidRPr="00B879BC">
        <w:rPr>
          <w:rFonts w:ascii="標楷體" w:eastAsia="標楷體" w:hAnsi="標楷體" w:cs="Arial Unicode MS" w:hint="eastAsia"/>
          <w:spacing w:val="-20"/>
          <w:sz w:val="28"/>
          <w:szCs w:val="28"/>
          <w:lang w:val="zh-TW"/>
        </w:rPr>
        <w:t>，</w:t>
      </w:r>
      <w:r w:rsidR="00C85D1D" w:rsidRPr="00B879BC">
        <w:rPr>
          <w:rFonts w:ascii="標楷體" w:eastAsia="標楷體" w:hAnsi="標楷體" w:cs="Arial Unicode MS"/>
          <w:sz w:val="28"/>
          <w:szCs w:val="28"/>
          <w:lang w:val="zh-TW"/>
        </w:rPr>
        <w:t xml:space="preserve"> </w:t>
      </w:r>
      <w:r w:rsidR="003241B5" w:rsidRPr="00B879BC">
        <w:rPr>
          <w:rFonts w:ascii="標楷體" w:eastAsia="標楷體" w:hAnsi="標楷體" w:cs="Times New Roman" w:hint="eastAsia"/>
          <w:color w:val="000000" w:themeColor="text1"/>
          <w:sz w:val="28"/>
          <w:szCs w:val="28"/>
        </w:rPr>
        <w:t xml:space="preserve"> 敬請查照。</w:t>
      </w:r>
    </w:p>
    <w:p w:rsidR="002B21D5" w:rsidRPr="001B6379" w:rsidRDefault="002B21D5" w:rsidP="00B879BC">
      <w:pPr>
        <w:spacing w:line="40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2B21D5" w:rsidRPr="00B879BC" w:rsidRDefault="002B21D5" w:rsidP="00B879BC">
      <w:pPr>
        <w:spacing w:line="400" w:lineRule="exact"/>
        <w:rPr>
          <w:rFonts w:ascii="標楷體" w:eastAsia="標楷體" w:hAnsi="標楷體" w:cs="Arial Unicode MS"/>
          <w:spacing w:val="-20"/>
          <w:sz w:val="28"/>
          <w:szCs w:val="28"/>
          <w:lang w:val="zh-TW"/>
        </w:rPr>
      </w:pPr>
      <w:r w:rsidRPr="001B6379">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B879BC">
        <w:rPr>
          <w:rFonts w:ascii="標楷體" w:eastAsia="標楷體" w:hAnsi="標楷體" w:cs="Arial Unicode MS" w:hint="eastAsia"/>
          <w:sz w:val="32"/>
          <w:szCs w:val="32"/>
          <w:lang w:val="zh-TW"/>
        </w:rPr>
        <w:t xml:space="preserve"> </w:t>
      </w:r>
      <w:r w:rsidR="000C55DA" w:rsidRPr="00B879BC">
        <w:rPr>
          <w:rFonts w:ascii="標楷體" w:eastAsia="標楷體" w:hAnsi="標楷體" w:cs="Arial Unicode MS" w:hint="eastAsia"/>
          <w:szCs w:val="24"/>
          <w:lang w:val="zh-TW"/>
        </w:rPr>
        <w:t xml:space="preserve"> </w:t>
      </w:r>
      <w:r w:rsidRPr="00B879BC">
        <w:rPr>
          <w:rFonts w:ascii="標楷體" w:eastAsia="標楷體" w:hAnsi="標楷體" w:cs="Arial Unicode MS" w:hint="eastAsia"/>
          <w:spacing w:val="-20"/>
          <w:sz w:val="28"/>
          <w:szCs w:val="28"/>
          <w:lang w:val="zh-TW"/>
        </w:rPr>
        <w:t>ㄧ、依據</w:t>
      </w:r>
      <w:r w:rsidR="00DB577A" w:rsidRPr="00B879BC">
        <w:rPr>
          <w:rFonts w:ascii="標楷體" w:eastAsia="標楷體" w:hAnsi="標楷體" w:cs="Arial Unicode MS" w:hint="eastAsia"/>
          <w:spacing w:val="-20"/>
          <w:sz w:val="28"/>
          <w:szCs w:val="28"/>
          <w:lang w:val="zh-TW"/>
        </w:rPr>
        <w:t>衛生福利部食品藥物管理署F</w:t>
      </w:r>
      <w:r w:rsidR="00DB577A" w:rsidRPr="00B879BC">
        <w:rPr>
          <w:rFonts w:ascii="標楷體" w:eastAsia="標楷體" w:hAnsi="標楷體" w:cs="Arial Unicode MS"/>
          <w:spacing w:val="-20"/>
          <w:sz w:val="28"/>
          <w:szCs w:val="28"/>
          <w:lang w:val="zh-TW"/>
        </w:rPr>
        <w:t>DA</w:t>
      </w:r>
      <w:r w:rsidR="00DB577A" w:rsidRPr="00B879BC">
        <w:rPr>
          <w:rFonts w:ascii="標楷體" w:eastAsia="標楷體" w:hAnsi="標楷體" w:cs="Arial Unicode MS" w:hint="eastAsia"/>
          <w:spacing w:val="-20"/>
          <w:sz w:val="28"/>
          <w:szCs w:val="28"/>
          <w:lang w:val="zh-TW"/>
        </w:rPr>
        <w:t>北</w:t>
      </w:r>
      <w:r w:rsidR="009F7AF4" w:rsidRPr="00B879BC">
        <w:rPr>
          <w:rFonts w:ascii="標楷體" w:eastAsia="標楷體" w:hAnsi="標楷體" w:cs="Arial Unicode MS" w:hint="eastAsia"/>
          <w:spacing w:val="-20"/>
          <w:sz w:val="28"/>
          <w:szCs w:val="28"/>
          <w:lang w:val="zh-TW"/>
        </w:rPr>
        <w:t>字</w:t>
      </w:r>
      <w:r w:rsidRPr="00B879BC">
        <w:rPr>
          <w:rFonts w:ascii="標楷體" w:eastAsia="標楷體" w:hAnsi="標楷體" w:cs="Arial Unicode MS" w:hint="eastAsia"/>
          <w:spacing w:val="-20"/>
          <w:sz w:val="28"/>
          <w:szCs w:val="28"/>
          <w:lang w:val="zh-TW"/>
        </w:rPr>
        <w:t>第</w:t>
      </w:r>
      <w:r w:rsidR="00377335" w:rsidRPr="00B879BC">
        <w:rPr>
          <w:rFonts w:ascii="標楷體" w:eastAsia="標楷體" w:hAnsi="標楷體" w:cs="Arial Unicode MS"/>
          <w:spacing w:val="-20"/>
          <w:sz w:val="28"/>
          <w:szCs w:val="28"/>
          <w:lang w:val="zh-TW"/>
        </w:rPr>
        <w:t>1</w:t>
      </w:r>
      <w:r w:rsidR="00743AA6" w:rsidRPr="00B879BC">
        <w:rPr>
          <w:rFonts w:ascii="標楷體" w:eastAsia="標楷體" w:hAnsi="標楷體" w:cs="Arial Unicode MS"/>
          <w:spacing w:val="-20"/>
          <w:sz w:val="28"/>
          <w:szCs w:val="28"/>
          <w:lang w:val="zh-TW"/>
        </w:rPr>
        <w:t>09</w:t>
      </w:r>
      <w:r w:rsidR="00DB577A" w:rsidRPr="00B879BC">
        <w:rPr>
          <w:rFonts w:ascii="標楷體" w:eastAsia="標楷體" w:hAnsi="標楷體" w:cs="Arial Unicode MS"/>
          <w:spacing w:val="-20"/>
          <w:sz w:val="28"/>
          <w:szCs w:val="28"/>
          <w:lang w:val="zh-TW"/>
        </w:rPr>
        <w:t>2002527</w:t>
      </w:r>
      <w:r w:rsidRPr="00B879BC">
        <w:rPr>
          <w:rFonts w:ascii="標楷體" w:eastAsia="標楷體" w:hAnsi="標楷體" w:cs="Arial Unicode MS" w:hint="eastAsia"/>
          <w:spacing w:val="-20"/>
          <w:sz w:val="28"/>
          <w:szCs w:val="28"/>
          <w:lang w:val="zh-TW"/>
        </w:rPr>
        <w:t>號函辦理。</w:t>
      </w:r>
    </w:p>
    <w:p w:rsidR="00B52453" w:rsidRPr="00B879BC" w:rsidRDefault="002B21D5" w:rsidP="00B879BC">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hint="eastAsia"/>
          <w:sz w:val="28"/>
          <w:szCs w:val="28"/>
          <w:lang w:val="zh-TW"/>
        </w:rPr>
        <w:t xml:space="preserve"> </w:t>
      </w:r>
      <w:r w:rsidRPr="00B879BC">
        <w:rPr>
          <w:rFonts w:ascii="標楷體" w:eastAsia="標楷體" w:hAnsi="標楷體" w:cs="Arial Unicode MS" w:hint="eastAsia"/>
          <w:sz w:val="32"/>
          <w:szCs w:val="32"/>
          <w:lang w:val="zh-TW"/>
        </w:rPr>
        <w:t xml:space="preserve"> </w:t>
      </w:r>
      <w:r w:rsidR="007F18BF" w:rsidRPr="00B879BC">
        <w:rPr>
          <w:rFonts w:ascii="標楷體" w:eastAsia="標楷體" w:hAnsi="標楷體" w:cs="Arial Unicode MS"/>
          <w:sz w:val="32"/>
          <w:szCs w:val="32"/>
          <w:lang w:val="zh-TW"/>
        </w:rPr>
        <w:t xml:space="preserve"> </w:t>
      </w:r>
      <w:r w:rsidR="007F18BF" w:rsidRPr="00B879BC">
        <w:rPr>
          <w:rFonts w:ascii="標楷體" w:eastAsia="標楷體" w:hAnsi="標楷體" w:cs="Arial Unicode MS"/>
          <w:sz w:val="22"/>
          <w:lang w:val="zh-TW"/>
        </w:rPr>
        <w:t xml:space="preserve"> </w:t>
      </w:r>
      <w:r w:rsidR="00E77E87" w:rsidRPr="00B879BC">
        <w:rPr>
          <w:rFonts w:ascii="標楷體" w:eastAsia="標楷體" w:hAnsi="標楷體" w:cs="Arial Unicode MS"/>
          <w:szCs w:val="24"/>
          <w:lang w:val="zh-TW"/>
        </w:rPr>
        <w:t xml:space="preserve"> </w:t>
      </w:r>
      <w:r w:rsidR="004D2BA4" w:rsidRPr="00B879BC">
        <w:rPr>
          <w:rFonts w:ascii="標楷體" w:eastAsia="標楷體" w:hAnsi="標楷體" w:cs="Arial Unicode MS" w:hint="eastAsia"/>
          <w:sz w:val="28"/>
          <w:szCs w:val="28"/>
          <w:lang w:val="zh-TW"/>
        </w:rPr>
        <w:t>二、</w:t>
      </w:r>
      <w:r w:rsidR="00DB577A" w:rsidRPr="00B879BC">
        <w:rPr>
          <w:rFonts w:ascii="標楷體" w:eastAsia="標楷體" w:hAnsi="標楷體" w:cs="Arial Unicode MS" w:hint="eastAsia"/>
          <w:sz w:val="28"/>
          <w:szCs w:val="28"/>
          <w:lang w:val="zh-TW"/>
        </w:rPr>
        <w:t>依據食品安全衛生管理法第3</w:t>
      </w:r>
      <w:r w:rsidR="00DB577A" w:rsidRPr="00B879BC">
        <w:rPr>
          <w:rFonts w:ascii="標楷體" w:eastAsia="標楷體" w:hAnsi="標楷體" w:cs="Arial Unicode MS"/>
          <w:sz w:val="28"/>
          <w:szCs w:val="28"/>
          <w:lang w:val="zh-TW"/>
        </w:rPr>
        <w:t>0</w:t>
      </w:r>
      <w:r w:rsidR="00DB577A" w:rsidRPr="00B879BC">
        <w:rPr>
          <w:rFonts w:ascii="標楷體" w:eastAsia="標楷體" w:hAnsi="標楷體" w:cs="Arial Unicode MS" w:hint="eastAsia"/>
          <w:sz w:val="28"/>
          <w:szCs w:val="28"/>
          <w:lang w:val="zh-TW"/>
        </w:rPr>
        <w:t>條規定，輸入經衛生福利部公告之食品、基因改造食品原料、食品添加物、食品器具、食品添加物、食品器具、食品容器或包裝及食品用洗潔劑時，應依海關專屬貨品分類號列，向</w:t>
      </w:r>
      <w:r w:rsidR="00DB577A" w:rsidRPr="00B879BC">
        <w:rPr>
          <w:rFonts w:ascii="標楷體" w:eastAsia="標楷體" w:hAnsi="標楷體" w:cs="Arial Unicode MS" w:hint="eastAsia"/>
          <w:sz w:val="28"/>
          <w:szCs w:val="28"/>
          <w:lang w:val="zh-TW"/>
        </w:rPr>
        <w:t>衛生福利部</w:t>
      </w:r>
      <w:r w:rsidR="00DB577A" w:rsidRPr="00B879BC">
        <w:rPr>
          <w:rFonts w:ascii="標楷體" w:eastAsia="標楷體" w:hAnsi="標楷體" w:cs="Arial Unicode MS" w:hint="eastAsia"/>
          <w:sz w:val="28"/>
          <w:szCs w:val="28"/>
          <w:lang w:val="zh-TW"/>
        </w:rPr>
        <w:t>食品藥物管理署申請查驗並申報其產品有關資訊</w:t>
      </w:r>
      <w:r w:rsidR="00710755" w:rsidRPr="00B879BC">
        <w:rPr>
          <w:rFonts w:ascii="標楷體" w:eastAsia="標楷體" w:hAnsi="標楷體" w:cs="Arial Unicode MS" w:hint="eastAsia"/>
          <w:sz w:val="28"/>
          <w:szCs w:val="28"/>
          <w:lang w:val="zh-TW"/>
        </w:rPr>
        <w:t>。</w:t>
      </w:r>
    </w:p>
    <w:p w:rsidR="00710755" w:rsidRPr="00B879BC" w:rsidRDefault="00710755" w:rsidP="00B879BC">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sz w:val="28"/>
          <w:szCs w:val="28"/>
          <w:lang w:val="zh-TW"/>
        </w:rPr>
        <w:t xml:space="preserve">  </w:t>
      </w:r>
      <w:r w:rsidRPr="00B879BC">
        <w:rPr>
          <w:rFonts w:ascii="標楷體" w:eastAsia="標楷體" w:hAnsi="標楷體" w:cs="Arial Unicode MS"/>
          <w:sz w:val="32"/>
          <w:szCs w:val="32"/>
          <w:lang w:val="zh-TW"/>
        </w:rPr>
        <w:t xml:space="preserve">  </w:t>
      </w:r>
      <w:r w:rsidRPr="00B879BC">
        <w:rPr>
          <w:rFonts w:ascii="標楷體" w:eastAsia="標楷體" w:hAnsi="標楷體" w:cs="Arial Unicode MS" w:hint="eastAsia"/>
          <w:sz w:val="28"/>
          <w:szCs w:val="28"/>
          <w:lang w:val="zh-TW"/>
        </w:rPr>
        <w:t>三、</w:t>
      </w:r>
      <w:r w:rsidR="00DB577A" w:rsidRPr="00B879BC">
        <w:rPr>
          <w:rFonts w:ascii="標楷體" w:eastAsia="標楷體" w:hAnsi="標楷體" w:cs="Arial Unicode MS" w:hint="eastAsia"/>
          <w:sz w:val="28"/>
          <w:szCs w:val="28"/>
          <w:lang w:val="zh-TW"/>
        </w:rPr>
        <w:t>依據食品及相關產品輸入查驗辦法第4條第1項規定，報驗義務人申請查驗時，應檢具查驗申請書、產品資料表、進口報單影本及</w:t>
      </w:r>
      <w:r w:rsidR="00DB577A" w:rsidRPr="00B879BC">
        <w:rPr>
          <w:rFonts w:ascii="標楷體" w:eastAsia="標楷體" w:hAnsi="標楷體" w:cs="Arial Unicode MS" w:hint="eastAsia"/>
          <w:sz w:val="28"/>
          <w:szCs w:val="28"/>
          <w:lang w:val="zh-TW"/>
        </w:rPr>
        <w:t>衛生福利部食品藥物管理署</w:t>
      </w:r>
      <w:r w:rsidR="00F16E4A" w:rsidRPr="00B879BC">
        <w:rPr>
          <w:rFonts w:ascii="標楷體" w:eastAsia="標楷體" w:hAnsi="標楷體" w:cs="Arial Unicode MS" w:hint="eastAsia"/>
          <w:sz w:val="28"/>
          <w:szCs w:val="28"/>
          <w:lang w:val="zh-TW"/>
        </w:rPr>
        <w:t>指定文件、資料</w:t>
      </w:r>
      <w:r w:rsidRPr="00B879BC">
        <w:rPr>
          <w:rFonts w:ascii="標楷體" w:eastAsia="標楷體" w:hAnsi="標楷體" w:cs="Arial Unicode MS" w:hint="eastAsia"/>
          <w:sz w:val="28"/>
          <w:szCs w:val="28"/>
          <w:lang w:val="zh-TW"/>
        </w:rPr>
        <w:t>。</w:t>
      </w:r>
      <w:r w:rsidR="00F16E4A" w:rsidRPr="00B879BC">
        <w:rPr>
          <w:rFonts w:ascii="標楷體" w:eastAsia="標楷體" w:hAnsi="標楷體" w:cs="Arial Unicode MS" w:hint="eastAsia"/>
          <w:sz w:val="28"/>
          <w:szCs w:val="28"/>
          <w:lang w:val="zh-TW"/>
        </w:rPr>
        <w:t>復依同第4條第</w:t>
      </w:r>
      <w:r w:rsidR="00F16E4A" w:rsidRPr="00B879BC">
        <w:rPr>
          <w:rFonts w:ascii="標楷體" w:eastAsia="標楷體" w:hAnsi="標楷體" w:cs="Arial Unicode MS"/>
          <w:sz w:val="28"/>
          <w:szCs w:val="28"/>
          <w:lang w:val="zh-TW"/>
        </w:rPr>
        <w:t>3</w:t>
      </w:r>
      <w:r w:rsidR="00F16E4A" w:rsidRPr="00B879BC">
        <w:rPr>
          <w:rFonts w:ascii="標楷體" w:eastAsia="標楷體" w:hAnsi="標楷體" w:cs="Arial Unicode MS" w:hint="eastAsia"/>
          <w:sz w:val="28"/>
          <w:szCs w:val="28"/>
          <w:lang w:val="zh-TW"/>
        </w:rPr>
        <w:t>項，申請查驗，得以</w:t>
      </w:r>
      <w:r w:rsidR="00F16E4A" w:rsidRPr="00B879BC">
        <w:rPr>
          <w:rFonts w:ascii="標楷體" w:eastAsia="標楷體" w:hAnsi="標楷體" w:cs="Arial Unicode MS" w:hint="eastAsia"/>
          <w:sz w:val="28"/>
          <w:szCs w:val="28"/>
          <w:lang w:val="zh-TW"/>
        </w:rPr>
        <w:t>衛生福利部食品藥物管理署</w:t>
      </w:r>
      <w:r w:rsidR="00F16E4A" w:rsidRPr="00B879BC">
        <w:rPr>
          <w:rFonts w:ascii="標楷體" w:eastAsia="標楷體" w:hAnsi="標楷體" w:cs="Arial Unicode MS" w:hint="eastAsia"/>
          <w:sz w:val="28"/>
          <w:szCs w:val="28"/>
          <w:lang w:val="zh-TW"/>
        </w:rPr>
        <w:t>指定之電子或其他方式為之。</w:t>
      </w:r>
    </w:p>
    <w:p w:rsidR="00710755" w:rsidRPr="00B879BC" w:rsidRDefault="00710755" w:rsidP="00B879BC">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hint="eastAsia"/>
          <w:sz w:val="28"/>
          <w:szCs w:val="28"/>
          <w:lang w:val="zh-TW"/>
        </w:rPr>
        <w:t xml:space="preserve"> </w:t>
      </w:r>
      <w:r w:rsidRPr="00B879BC">
        <w:rPr>
          <w:rFonts w:ascii="標楷體" w:eastAsia="標楷體" w:hAnsi="標楷體" w:cs="Arial Unicode MS"/>
          <w:sz w:val="32"/>
          <w:szCs w:val="32"/>
          <w:lang w:val="zh-TW"/>
        </w:rPr>
        <w:t xml:space="preserve">   </w:t>
      </w:r>
      <w:r w:rsidRPr="00B879BC">
        <w:rPr>
          <w:rFonts w:ascii="標楷體" w:eastAsia="標楷體" w:hAnsi="標楷體" w:cs="Arial Unicode MS" w:hint="eastAsia"/>
          <w:sz w:val="28"/>
          <w:szCs w:val="28"/>
          <w:lang w:val="zh-TW"/>
        </w:rPr>
        <w:t>四、</w:t>
      </w:r>
      <w:r w:rsidR="00F16E4A" w:rsidRPr="00B879BC">
        <w:rPr>
          <w:rFonts w:ascii="標楷體" w:eastAsia="標楷體" w:hAnsi="標楷體" w:cs="Arial Unicode MS" w:hint="eastAsia"/>
          <w:sz w:val="28"/>
          <w:szCs w:val="28"/>
          <w:lang w:val="zh-TW"/>
        </w:rPr>
        <w:t>為提升食品及相關產品輸入查驗效率，並加速產品通關時效，並考量電子化審查之申報資訊完整性及正確性，</w:t>
      </w:r>
      <w:r w:rsidR="00F16E4A" w:rsidRPr="00B879BC">
        <w:rPr>
          <w:rFonts w:ascii="標楷體" w:eastAsia="標楷體" w:hAnsi="標楷體" w:cs="Arial Unicode MS" w:hint="eastAsia"/>
          <w:sz w:val="28"/>
          <w:szCs w:val="28"/>
          <w:lang w:val="zh-TW"/>
        </w:rPr>
        <w:t>衛生福利部食品藥物管理署</w:t>
      </w:r>
      <w:r w:rsidR="00F16E4A" w:rsidRPr="00B879BC">
        <w:rPr>
          <w:rFonts w:ascii="標楷體" w:eastAsia="標楷體" w:hAnsi="標楷體" w:cs="Arial Unicode MS" w:hint="eastAsia"/>
          <w:sz w:val="28"/>
          <w:szCs w:val="28"/>
          <w:lang w:val="zh-TW"/>
        </w:rPr>
        <w:t>自即日起實施「</w:t>
      </w:r>
      <w:r w:rsidR="00F16E4A" w:rsidRPr="00B879BC">
        <w:rPr>
          <w:rFonts w:ascii="標楷體" w:eastAsia="標楷體" w:hAnsi="標楷體" w:cs="Arial Unicode MS" w:hint="eastAsia"/>
          <w:sz w:val="28"/>
          <w:szCs w:val="28"/>
          <w:lang w:val="zh-TW"/>
        </w:rPr>
        <w:t>食品容器具(產品中分類</w:t>
      </w:r>
      <w:r w:rsidR="00F16E4A" w:rsidRPr="00B879BC">
        <w:rPr>
          <w:rFonts w:ascii="標楷體" w:eastAsia="標楷體" w:hAnsi="標楷體" w:cs="Arial Unicode MS"/>
          <w:sz w:val="28"/>
          <w:szCs w:val="28"/>
          <w:lang w:val="zh-TW"/>
        </w:rPr>
        <w:t>FE01)</w:t>
      </w:r>
      <w:r w:rsidR="00F16E4A" w:rsidRPr="00B879BC">
        <w:rPr>
          <w:rFonts w:ascii="標楷體" w:eastAsia="標楷體" w:hAnsi="標楷體" w:cs="Arial Unicode MS" w:hint="eastAsia"/>
          <w:sz w:val="28"/>
          <w:szCs w:val="28"/>
          <w:lang w:val="zh-TW"/>
        </w:rPr>
        <w:t>」及「生鮮冷藏冷凍蔬菜、水果(中分類F</w:t>
      </w:r>
      <w:r w:rsidR="00F16E4A" w:rsidRPr="00B879BC">
        <w:rPr>
          <w:rFonts w:ascii="標楷體" w:eastAsia="標楷體" w:hAnsi="標楷體" w:cs="Arial Unicode MS"/>
          <w:sz w:val="28"/>
          <w:szCs w:val="28"/>
          <w:lang w:val="zh-TW"/>
        </w:rPr>
        <w:t>C11</w:t>
      </w:r>
      <w:r w:rsidR="00F16E4A" w:rsidRPr="00B879BC">
        <w:rPr>
          <w:rFonts w:ascii="標楷體" w:eastAsia="標楷體" w:hAnsi="標楷體" w:cs="Arial Unicode MS" w:hint="eastAsia"/>
          <w:sz w:val="28"/>
          <w:szCs w:val="28"/>
          <w:lang w:val="zh-TW"/>
        </w:rPr>
        <w:t>及</w:t>
      </w:r>
      <w:r w:rsidR="00F16E4A" w:rsidRPr="00B879BC">
        <w:rPr>
          <w:rFonts w:ascii="標楷體" w:eastAsia="標楷體" w:hAnsi="標楷體" w:cs="Arial Unicode MS"/>
          <w:sz w:val="28"/>
          <w:szCs w:val="28"/>
          <w:lang w:val="zh-TW"/>
        </w:rPr>
        <w:t>FC12</w:t>
      </w:r>
      <w:r w:rsidR="00F16E4A" w:rsidRPr="00B879BC">
        <w:rPr>
          <w:rFonts w:ascii="標楷體" w:eastAsia="標楷體" w:hAnsi="標楷體" w:cs="Arial Unicode MS" w:hint="eastAsia"/>
          <w:sz w:val="28"/>
          <w:szCs w:val="28"/>
          <w:lang w:val="zh-TW"/>
        </w:rPr>
        <w:t>，單一品項之貨品分類號列</w:t>
      </w:r>
      <w:r w:rsidR="00F16E4A" w:rsidRPr="00B879BC">
        <w:rPr>
          <w:rFonts w:ascii="標楷體" w:eastAsia="標楷體" w:hAnsi="標楷體" w:cs="Arial Unicode MS"/>
          <w:sz w:val="28"/>
          <w:szCs w:val="28"/>
          <w:lang w:val="zh-TW"/>
        </w:rPr>
        <w:t>)</w:t>
      </w:r>
      <w:r w:rsidR="00F16E4A" w:rsidRPr="00B879BC">
        <w:rPr>
          <w:rFonts w:ascii="標楷體" w:eastAsia="標楷體" w:hAnsi="標楷體" w:cs="Arial Unicode MS" w:hint="eastAsia"/>
          <w:sz w:val="28"/>
          <w:szCs w:val="28"/>
          <w:lang w:val="zh-TW"/>
        </w:rPr>
        <w:t>」輸入查驗電子化審查措施(適用產品及作業說明如附件)</w:t>
      </w:r>
      <w:r w:rsidR="00F16E4A" w:rsidRPr="00B879BC">
        <w:rPr>
          <w:rFonts w:ascii="標楷體" w:eastAsia="標楷體" w:hAnsi="標楷體" w:cs="Arial Unicode MS" w:hint="eastAsia"/>
          <w:sz w:val="28"/>
          <w:szCs w:val="28"/>
          <w:lang w:val="zh-TW"/>
        </w:rPr>
        <w:t>，未依規定申報電子化審查措施必填欄位，則不適用電子化審查措施</w:t>
      </w:r>
      <w:r w:rsidR="004360D0" w:rsidRPr="00B879BC">
        <w:rPr>
          <w:rFonts w:ascii="標楷體" w:eastAsia="標楷體" w:hAnsi="標楷體" w:cs="Arial Unicode MS" w:hint="eastAsia"/>
          <w:sz w:val="28"/>
          <w:szCs w:val="28"/>
          <w:lang w:val="zh-TW"/>
        </w:rPr>
        <w:t>。</w:t>
      </w:r>
    </w:p>
    <w:p w:rsidR="00F16E4A" w:rsidRPr="00B879BC" w:rsidRDefault="00F16E4A" w:rsidP="00B879BC">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hint="eastAsia"/>
          <w:sz w:val="28"/>
          <w:szCs w:val="28"/>
          <w:lang w:val="zh-TW"/>
        </w:rPr>
        <w:lastRenderedPageBreak/>
        <w:t xml:space="preserve"> </w:t>
      </w:r>
      <w:r w:rsidRPr="00B879BC">
        <w:rPr>
          <w:rFonts w:ascii="標楷體" w:eastAsia="標楷體" w:hAnsi="標楷體" w:cs="Arial Unicode MS"/>
          <w:sz w:val="28"/>
          <w:szCs w:val="28"/>
          <w:lang w:val="zh-TW"/>
        </w:rPr>
        <w:t xml:space="preserve">   </w:t>
      </w:r>
      <w:r w:rsidRPr="00B879BC">
        <w:rPr>
          <w:rFonts w:ascii="標楷體" w:eastAsia="標楷體" w:hAnsi="標楷體" w:cs="Arial Unicode MS" w:hint="eastAsia"/>
          <w:sz w:val="28"/>
          <w:szCs w:val="28"/>
          <w:lang w:val="zh-TW"/>
        </w:rPr>
        <w:t>五、報驗義務人(含委託代理人)以「關港貿單一窗口」或「</w:t>
      </w:r>
      <w:r w:rsidRPr="00B879BC">
        <w:rPr>
          <w:rFonts w:ascii="標楷體" w:eastAsia="標楷體" w:hAnsi="標楷體" w:cs="Arial Unicode MS" w:hint="eastAsia"/>
          <w:sz w:val="28"/>
          <w:szCs w:val="28"/>
          <w:lang w:val="zh-TW"/>
        </w:rPr>
        <w:t>衛生福利部食品藥物管理署</w:t>
      </w:r>
      <w:r w:rsidRPr="00B879BC">
        <w:rPr>
          <w:rFonts w:ascii="標楷體" w:eastAsia="標楷體" w:hAnsi="標楷體" w:cs="Arial Unicode MS" w:hint="eastAsia"/>
          <w:sz w:val="28"/>
          <w:szCs w:val="28"/>
          <w:lang w:val="zh-TW"/>
        </w:rPr>
        <w:t>網際網路」等電子化方式，申請查驗並依規定申報產品有關資訊，將進口報單影本及其他指定文件電子檔上傳至食藥署邊境查驗自動化管理</w:t>
      </w:r>
      <w:r w:rsidR="005418F3" w:rsidRPr="00B879BC">
        <w:rPr>
          <w:rFonts w:ascii="標楷體" w:eastAsia="標楷體" w:hAnsi="標楷體" w:cs="Arial Unicode MS" w:hint="eastAsia"/>
          <w:sz w:val="28"/>
          <w:szCs w:val="28"/>
          <w:lang w:val="zh-TW"/>
        </w:rPr>
        <w:t>資訊</w:t>
      </w:r>
      <w:r w:rsidRPr="00B879BC">
        <w:rPr>
          <w:rFonts w:ascii="標楷體" w:eastAsia="標楷體" w:hAnsi="標楷體" w:cs="Arial Unicode MS" w:hint="eastAsia"/>
          <w:sz w:val="28"/>
          <w:szCs w:val="28"/>
          <w:lang w:val="zh-TW"/>
        </w:rPr>
        <w:t>系統(下稱I</w:t>
      </w:r>
      <w:r w:rsidRPr="00B879BC">
        <w:rPr>
          <w:rFonts w:ascii="標楷體" w:eastAsia="標楷體" w:hAnsi="標楷體" w:cs="Arial Unicode MS"/>
          <w:sz w:val="28"/>
          <w:szCs w:val="28"/>
          <w:lang w:val="zh-TW"/>
        </w:rPr>
        <w:t>FI</w:t>
      </w:r>
      <w:r w:rsidRPr="00B879BC">
        <w:rPr>
          <w:rFonts w:ascii="標楷體" w:eastAsia="標楷體" w:hAnsi="標楷體" w:cs="Arial Unicode MS" w:hint="eastAsia"/>
          <w:sz w:val="28"/>
          <w:szCs w:val="28"/>
          <w:lang w:val="zh-TW"/>
        </w:rPr>
        <w:t>系統)並完成繳費者，該批產品之查驗方式為「未抽中批」，</w:t>
      </w:r>
      <w:r w:rsidRPr="00B879BC">
        <w:rPr>
          <w:rFonts w:ascii="標楷體" w:eastAsia="標楷體" w:hAnsi="標楷體" w:cs="Arial Unicode MS" w:hint="eastAsia"/>
          <w:sz w:val="28"/>
          <w:szCs w:val="28"/>
          <w:lang w:val="zh-TW"/>
        </w:rPr>
        <w:t>衛生福利部食品藥物管理署</w:t>
      </w:r>
      <w:r w:rsidRPr="00B879BC">
        <w:rPr>
          <w:rFonts w:ascii="標楷體" w:eastAsia="標楷體" w:hAnsi="標楷體" w:cs="Arial Unicode MS" w:hint="eastAsia"/>
          <w:sz w:val="28"/>
          <w:szCs w:val="28"/>
          <w:lang w:val="zh-TW"/>
        </w:rPr>
        <w:t>即依審查結果執行單證比對及回傳N</w:t>
      </w:r>
      <w:r w:rsidRPr="00B879BC">
        <w:rPr>
          <w:rFonts w:ascii="標楷體" w:eastAsia="標楷體" w:hAnsi="標楷體" w:cs="Arial Unicode MS"/>
          <w:sz w:val="28"/>
          <w:szCs w:val="28"/>
          <w:lang w:val="zh-TW"/>
        </w:rPr>
        <w:t>X802</w:t>
      </w:r>
      <w:r w:rsidRPr="00B879BC">
        <w:rPr>
          <w:rFonts w:ascii="標楷體" w:eastAsia="標楷體" w:hAnsi="標楷體" w:cs="Arial Unicode MS" w:hint="eastAsia"/>
          <w:sz w:val="28"/>
          <w:szCs w:val="28"/>
          <w:lang w:val="zh-TW"/>
        </w:rPr>
        <w:t>會辦訊息予海關。</w:t>
      </w:r>
    </w:p>
    <w:p w:rsidR="00F16E4A" w:rsidRPr="00B879BC" w:rsidRDefault="00F16E4A" w:rsidP="00B879BC">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hint="eastAsia"/>
          <w:sz w:val="28"/>
          <w:szCs w:val="28"/>
          <w:lang w:val="zh-TW"/>
        </w:rPr>
        <w:t xml:space="preserve"> </w:t>
      </w:r>
      <w:r w:rsidRPr="00B879BC">
        <w:rPr>
          <w:rFonts w:ascii="標楷體" w:eastAsia="標楷體" w:hAnsi="標楷體" w:cs="Arial Unicode MS"/>
          <w:sz w:val="28"/>
          <w:szCs w:val="28"/>
          <w:lang w:val="zh-TW"/>
        </w:rPr>
        <w:t xml:space="preserve">   </w:t>
      </w:r>
      <w:r w:rsidRPr="00B879BC">
        <w:rPr>
          <w:rFonts w:ascii="標楷體" w:eastAsia="標楷體" w:hAnsi="標楷體" w:cs="Arial Unicode MS" w:hint="eastAsia"/>
          <w:sz w:val="28"/>
          <w:szCs w:val="28"/>
          <w:lang w:val="zh-TW"/>
        </w:rPr>
        <w:t>六、</w:t>
      </w:r>
      <w:r w:rsidRPr="00B879BC">
        <w:rPr>
          <w:rFonts w:ascii="標楷體" w:eastAsia="標楷體" w:hAnsi="標楷體" w:cs="Arial Unicode MS" w:hint="eastAsia"/>
          <w:sz w:val="28"/>
          <w:szCs w:val="28"/>
          <w:lang w:val="zh-TW"/>
        </w:rPr>
        <w:t>依據食品安全衛生管理法第</w:t>
      </w:r>
      <w:r w:rsidRPr="00B879BC">
        <w:rPr>
          <w:rFonts w:ascii="標楷體" w:eastAsia="標楷體" w:hAnsi="標楷體" w:cs="Arial Unicode MS" w:hint="eastAsia"/>
          <w:sz w:val="28"/>
          <w:szCs w:val="28"/>
          <w:lang w:val="zh-TW"/>
        </w:rPr>
        <w:t>4</w:t>
      </w:r>
      <w:r w:rsidRPr="00B879BC">
        <w:rPr>
          <w:rFonts w:ascii="標楷體" w:eastAsia="標楷體" w:hAnsi="標楷體" w:cs="Arial Unicode MS"/>
          <w:sz w:val="28"/>
          <w:szCs w:val="28"/>
          <w:lang w:val="zh-TW"/>
        </w:rPr>
        <w:t>7</w:t>
      </w:r>
      <w:r w:rsidRPr="00B879BC">
        <w:rPr>
          <w:rFonts w:ascii="標楷體" w:eastAsia="標楷體" w:hAnsi="標楷體" w:cs="Arial Unicode MS" w:hint="eastAsia"/>
          <w:sz w:val="28"/>
          <w:szCs w:val="28"/>
          <w:lang w:val="zh-TW"/>
        </w:rPr>
        <w:t>條第1</w:t>
      </w:r>
      <w:r w:rsidRPr="00B879BC">
        <w:rPr>
          <w:rFonts w:ascii="標楷體" w:eastAsia="標楷體" w:hAnsi="標楷體" w:cs="Arial Unicode MS"/>
          <w:sz w:val="28"/>
          <w:szCs w:val="28"/>
          <w:lang w:val="zh-TW"/>
        </w:rPr>
        <w:t>3</w:t>
      </w:r>
      <w:r w:rsidRPr="00B879BC">
        <w:rPr>
          <w:rFonts w:ascii="標楷體" w:eastAsia="標楷體" w:hAnsi="標楷體" w:cs="Arial Unicode MS" w:hint="eastAsia"/>
          <w:sz w:val="28"/>
          <w:szCs w:val="28"/>
          <w:lang w:val="zh-TW"/>
        </w:rPr>
        <w:t>款規定，違反第3</w:t>
      </w:r>
      <w:r w:rsidRPr="00B879BC">
        <w:rPr>
          <w:rFonts w:ascii="標楷體" w:eastAsia="標楷體" w:hAnsi="標楷體" w:cs="Arial Unicode MS"/>
          <w:sz w:val="28"/>
          <w:szCs w:val="28"/>
          <w:lang w:val="zh-TW"/>
        </w:rPr>
        <w:t>0</w:t>
      </w:r>
      <w:r w:rsidRPr="00B879BC">
        <w:rPr>
          <w:rFonts w:ascii="標楷體" w:eastAsia="標楷體" w:hAnsi="標楷體" w:cs="Arial Unicode MS" w:hint="eastAsia"/>
          <w:sz w:val="28"/>
          <w:szCs w:val="28"/>
          <w:lang w:val="zh-TW"/>
        </w:rPr>
        <w:t>條第1項規定，未辦理輸入產品資訊申報，或申報之資訊不實，處新台幣3至</w:t>
      </w:r>
      <w:r w:rsidRPr="00B879BC">
        <w:rPr>
          <w:rFonts w:ascii="標楷體" w:eastAsia="標楷體" w:hAnsi="標楷體" w:cs="Arial Unicode MS"/>
          <w:sz w:val="28"/>
          <w:szCs w:val="28"/>
          <w:lang w:val="zh-TW"/>
        </w:rPr>
        <w:t>30</w:t>
      </w:r>
      <w:r w:rsidRPr="00B879BC">
        <w:rPr>
          <w:rFonts w:ascii="標楷體" w:eastAsia="標楷體" w:hAnsi="標楷體" w:cs="Arial Unicode MS" w:hint="eastAsia"/>
          <w:sz w:val="28"/>
          <w:szCs w:val="28"/>
          <w:lang w:val="zh-TW"/>
        </w:rPr>
        <w:t>萬元罰鍰；情節重大者，並得命其歇業、停業一定期間、廢止其公司、商業、工廠之全部或部分登記事項，或食品業者之登錄；</w:t>
      </w:r>
      <w:r w:rsidR="00DC1EAF" w:rsidRPr="00B879BC">
        <w:rPr>
          <w:rFonts w:ascii="標楷體" w:eastAsia="標楷體" w:hAnsi="標楷體" w:cs="Arial Unicode MS" w:hint="eastAsia"/>
          <w:sz w:val="28"/>
          <w:szCs w:val="28"/>
          <w:lang w:val="zh-TW"/>
        </w:rPr>
        <w:t>經廢止登錄者，一年不得再申</w:t>
      </w:r>
      <w:r w:rsidR="005418F3" w:rsidRPr="00B879BC">
        <w:rPr>
          <w:rFonts w:ascii="標楷體" w:eastAsia="標楷體" w:hAnsi="標楷體" w:cs="Arial Unicode MS" w:hint="eastAsia"/>
          <w:sz w:val="28"/>
          <w:szCs w:val="28"/>
          <w:lang w:val="zh-TW"/>
        </w:rPr>
        <w:t>請</w:t>
      </w:r>
      <w:r w:rsidR="00DC1EAF" w:rsidRPr="00B879BC">
        <w:rPr>
          <w:rFonts w:ascii="標楷體" w:eastAsia="標楷體" w:hAnsi="標楷體" w:cs="Arial Unicode MS" w:hint="eastAsia"/>
          <w:sz w:val="28"/>
          <w:szCs w:val="28"/>
          <w:lang w:val="zh-TW"/>
        </w:rPr>
        <w:t>重新登錄。</w:t>
      </w:r>
    </w:p>
    <w:p w:rsidR="00DC1EAF" w:rsidRPr="00B879BC" w:rsidRDefault="00DC1EAF" w:rsidP="00B879BC">
      <w:pPr>
        <w:suppressAutoHyphens/>
        <w:spacing w:line="400" w:lineRule="exact"/>
        <w:ind w:left="1120" w:hangingChars="400" w:hanging="1120"/>
        <w:rPr>
          <w:rFonts w:ascii="標楷體" w:eastAsia="標楷體" w:hAnsi="標楷體" w:cs="Arial Unicode MS" w:hint="eastAsia"/>
          <w:sz w:val="28"/>
          <w:szCs w:val="28"/>
          <w:lang w:val="zh-TW"/>
        </w:rPr>
      </w:pPr>
      <w:r w:rsidRPr="00B879BC">
        <w:rPr>
          <w:rFonts w:ascii="標楷體" w:eastAsia="標楷體" w:hAnsi="標楷體" w:cs="Arial Unicode MS" w:hint="eastAsia"/>
          <w:sz w:val="28"/>
          <w:szCs w:val="28"/>
          <w:lang w:val="zh-TW"/>
        </w:rPr>
        <w:t xml:space="preserve"> </w:t>
      </w:r>
      <w:r w:rsidRPr="00B879BC">
        <w:rPr>
          <w:rFonts w:ascii="標楷體" w:eastAsia="標楷體" w:hAnsi="標楷體" w:cs="Arial Unicode MS"/>
          <w:sz w:val="28"/>
          <w:szCs w:val="28"/>
          <w:lang w:val="zh-TW"/>
        </w:rPr>
        <w:t xml:space="preserve">   </w:t>
      </w:r>
      <w:r w:rsidRPr="00B879BC">
        <w:rPr>
          <w:rFonts w:ascii="標楷體" w:eastAsia="標楷體" w:hAnsi="標楷體" w:cs="Arial Unicode MS" w:hint="eastAsia"/>
          <w:sz w:val="28"/>
          <w:szCs w:val="28"/>
          <w:lang w:val="zh-TW"/>
        </w:rPr>
        <w:t>七、</w:t>
      </w:r>
      <w:r w:rsidRPr="00B879BC">
        <w:rPr>
          <w:rFonts w:ascii="標楷體" w:eastAsia="標楷體" w:hAnsi="標楷體" w:cs="Arial Unicode MS" w:hint="eastAsia"/>
          <w:sz w:val="28"/>
          <w:szCs w:val="28"/>
          <w:lang w:val="zh-TW"/>
        </w:rPr>
        <w:t>衛生福利部食品藥物管理署</w:t>
      </w:r>
      <w:r w:rsidRPr="00B879BC">
        <w:rPr>
          <w:rFonts w:ascii="標楷體" w:eastAsia="標楷體" w:hAnsi="標楷體" w:cs="Arial Unicode MS" w:hint="eastAsia"/>
          <w:sz w:val="28"/>
          <w:szCs w:val="28"/>
          <w:lang w:val="zh-TW"/>
        </w:rPr>
        <w:t>對電子化審查案件得事後抽查，抽查結果如經認定為產品資訊申報不實者，除依食品安全衛生管理法第4</w:t>
      </w:r>
      <w:r w:rsidRPr="00B879BC">
        <w:rPr>
          <w:rFonts w:ascii="標楷體" w:eastAsia="標楷體" w:hAnsi="標楷體" w:cs="Arial Unicode MS"/>
          <w:sz w:val="28"/>
          <w:szCs w:val="28"/>
          <w:lang w:val="zh-TW"/>
        </w:rPr>
        <w:t>7</w:t>
      </w:r>
      <w:r w:rsidRPr="00B879BC">
        <w:rPr>
          <w:rFonts w:ascii="標楷體" w:eastAsia="標楷體" w:hAnsi="標楷體" w:cs="Arial Unicode MS" w:hint="eastAsia"/>
          <w:sz w:val="28"/>
          <w:szCs w:val="28"/>
          <w:lang w:val="zh-TW"/>
        </w:rPr>
        <w:t>條及相關規定辦理外，並得視其違規情形，對報驗義務人暫停電子化審查1年。請報驗義務人據實申報產品內容及檢附</w:t>
      </w:r>
      <w:r w:rsidRPr="00B879BC">
        <w:rPr>
          <w:rFonts w:ascii="標楷體" w:eastAsia="標楷體" w:hAnsi="標楷體" w:cs="Arial Unicode MS" w:hint="eastAsia"/>
          <w:sz w:val="28"/>
          <w:szCs w:val="28"/>
          <w:lang w:val="zh-TW"/>
        </w:rPr>
        <w:t>衛生福利部食品藥物管理署</w:t>
      </w:r>
      <w:r w:rsidRPr="00B879BC">
        <w:rPr>
          <w:rFonts w:ascii="標楷體" w:eastAsia="標楷體" w:hAnsi="標楷體" w:cs="Arial Unicode MS" w:hint="eastAsia"/>
          <w:sz w:val="28"/>
          <w:szCs w:val="28"/>
          <w:lang w:val="zh-TW"/>
        </w:rPr>
        <w:t>指定文件，以免受罰。</w:t>
      </w:r>
    </w:p>
    <w:p w:rsidR="00992262" w:rsidRDefault="00992262" w:rsidP="004D2BA4">
      <w:pPr>
        <w:suppressAutoHyphens/>
        <w:wordWrap w:val="0"/>
        <w:spacing w:line="0" w:lineRule="atLeast"/>
        <w:ind w:left="1280" w:hangingChars="400" w:hanging="1280"/>
        <w:rPr>
          <w:rFonts w:ascii="標楷體" w:eastAsia="標楷體" w:hAnsi="標楷體" w:cs="新細明體"/>
          <w:color w:val="000000"/>
          <w:kern w:val="0"/>
          <w:sz w:val="32"/>
          <w:szCs w:val="32"/>
        </w:rPr>
      </w:pPr>
    </w:p>
    <w:p w:rsidR="00B879BC" w:rsidRDefault="00B879BC" w:rsidP="004D2BA4">
      <w:pPr>
        <w:suppressAutoHyphens/>
        <w:wordWrap w:val="0"/>
        <w:spacing w:line="0" w:lineRule="atLeast"/>
        <w:ind w:left="1280" w:hangingChars="400" w:hanging="1280"/>
        <w:rPr>
          <w:rFonts w:ascii="標楷體" w:eastAsia="標楷體" w:hAnsi="標楷體" w:cs="新細明體" w:hint="eastAsia"/>
          <w:color w:val="000000"/>
          <w:kern w:val="0"/>
          <w:sz w:val="32"/>
          <w:szCs w:val="32"/>
        </w:rPr>
      </w:pPr>
    </w:p>
    <w:p w:rsidR="00B879BC" w:rsidRDefault="00B879BC" w:rsidP="004D2BA4">
      <w:pPr>
        <w:suppressAutoHyphens/>
        <w:wordWrap w:val="0"/>
        <w:spacing w:line="0" w:lineRule="atLeast"/>
        <w:ind w:left="1280" w:hangingChars="400" w:hanging="1280"/>
        <w:rPr>
          <w:rFonts w:ascii="標楷體" w:eastAsia="標楷體" w:hAnsi="標楷體" w:cs="新細明體" w:hint="eastAsia"/>
          <w:color w:val="000000"/>
          <w:kern w:val="0"/>
          <w:sz w:val="32"/>
          <w:szCs w:val="32"/>
        </w:rPr>
      </w:pPr>
    </w:p>
    <w:p w:rsidR="00B879BC" w:rsidRPr="00B879BC" w:rsidRDefault="00B879BC" w:rsidP="00B879BC">
      <w:pPr>
        <w:snapToGrid w:val="0"/>
        <w:spacing w:line="240" w:lineRule="atLeast"/>
        <w:ind w:leftChars="400" w:left="1520" w:rightChars="135" w:right="324" w:hangingChars="100" w:hanging="560"/>
        <w:jc w:val="both"/>
        <w:rPr>
          <w:rFonts w:ascii="標楷體" w:eastAsia="標楷體" w:hAnsi="標楷體" w:cs="Times New Roman" w:hint="eastAsia"/>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Pr>
          <w:rFonts w:ascii="華康儷楷書" w:eastAsia="華康儷楷書" w:hAnsi="Calibri" w:cs="Times New Roman" w:hint="eastAsia"/>
          <w:b/>
          <w:bCs/>
          <w:color w:val="000000"/>
          <w:sz w:val="96"/>
          <w:szCs w:val="96"/>
        </w:rPr>
        <w:t>簡 文 豐</w:t>
      </w:r>
    </w:p>
    <w:sectPr w:rsidR="00B879BC" w:rsidRPr="00B879BC" w:rsidSect="008A10F9">
      <w:pgSz w:w="11906" w:h="16838"/>
      <w:pgMar w:top="1418" w:right="1797" w:bottom="1985"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B01" w:rsidRDefault="004B4B01" w:rsidP="00D26A27">
      <w:r>
        <w:separator/>
      </w:r>
    </w:p>
  </w:endnote>
  <w:endnote w:type="continuationSeparator" w:id="0">
    <w:p w:rsidR="004B4B01" w:rsidRDefault="004B4B01"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B01" w:rsidRDefault="004B4B01" w:rsidP="00D26A27">
      <w:r>
        <w:separator/>
      </w:r>
    </w:p>
  </w:footnote>
  <w:footnote w:type="continuationSeparator" w:id="0">
    <w:p w:rsidR="004B4B01" w:rsidRDefault="004B4B01"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47BB4"/>
    <w:rsid w:val="0005405E"/>
    <w:rsid w:val="000642BF"/>
    <w:rsid w:val="00064B8A"/>
    <w:rsid w:val="0007096B"/>
    <w:rsid w:val="00072ED5"/>
    <w:rsid w:val="000905B3"/>
    <w:rsid w:val="0009520D"/>
    <w:rsid w:val="000C55DA"/>
    <w:rsid w:val="000D42B3"/>
    <w:rsid w:val="000D5B67"/>
    <w:rsid w:val="000D6218"/>
    <w:rsid w:val="0010133D"/>
    <w:rsid w:val="00104633"/>
    <w:rsid w:val="0011551A"/>
    <w:rsid w:val="001249C1"/>
    <w:rsid w:val="001306A2"/>
    <w:rsid w:val="0013298C"/>
    <w:rsid w:val="00133FA9"/>
    <w:rsid w:val="00137996"/>
    <w:rsid w:val="00145D08"/>
    <w:rsid w:val="001527C0"/>
    <w:rsid w:val="0015338A"/>
    <w:rsid w:val="001572A8"/>
    <w:rsid w:val="00166F98"/>
    <w:rsid w:val="001740AE"/>
    <w:rsid w:val="00184EDB"/>
    <w:rsid w:val="0018549B"/>
    <w:rsid w:val="001868B3"/>
    <w:rsid w:val="00194C05"/>
    <w:rsid w:val="00197D13"/>
    <w:rsid w:val="001B6379"/>
    <w:rsid w:val="001B6F6F"/>
    <w:rsid w:val="001C5C5C"/>
    <w:rsid w:val="001C6928"/>
    <w:rsid w:val="001D0CDE"/>
    <w:rsid w:val="001D0F35"/>
    <w:rsid w:val="001E0AED"/>
    <w:rsid w:val="001E53A5"/>
    <w:rsid w:val="001E6828"/>
    <w:rsid w:val="001F591F"/>
    <w:rsid w:val="001F7352"/>
    <w:rsid w:val="00211EC3"/>
    <w:rsid w:val="002358F5"/>
    <w:rsid w:val="0023685B"/>
    <w:rsid w:val="00252D76"/>
    <w:rsid w:val="002554A9"/>
    <w:rsid w:val="00256DAB"/>
    <w:rsid w:val="00273C67"/>
    <w:rsid w:val="00286C0E"/>
    <w:rsid w:val="002968B0"/>
    <w:rsid w:val="002971F5"/>
    <w:rsid w:val="002B21D5"/>
    <w:rsid w:val="002B2430"/>
    <w:rsid w:val="002B3815"/>
    <w:rsid w:val="002B63E5"/>
    <w:rsid w:val="002F41E8"/>
    <w:rsid w:val="003005E4"/>
    <w:rsid w:val="00301FE8"/>
    <w:rsid w:val="0030210B"/>
    <w:rsid w:val="00314B76"/>
    <w:rsid w:val="003168FA"/>
    <w:rsid w:val="00317710"/>
    <w:rsid w:val="003216F1"/>
    <w:rsid w:val="003241B5"/>
    <w:rsid w:val="00325247"/>
    <w:rsid w:val="00330BAE"/>
    <w:rsid w:val="0033374E"/>
    <w:rsid w:val="00333FBA"/>
    <w:rsid w:val="0035213A"/>
    <w:rsid w:val="00353554"/>
    <w:rsid w:val="00354346"/>
    <w:rsid w:val="00354D85"/>
    <w:rsid w:val="0035550A"/>
    <w:rsid w:val="0036105A"/>
    <w:rsid w:val="00361D6B"/>
    <w:rsid w:val="0036575C"/>
    <w:rsid w:val="00377335"/>
    <w:rsid w:val="0038245A"/>
    <w:rsid w:val="003927F9"/>
    <w:rsid w:val="003940BF"/>
    <w:rsid w:val="00395A84"/>
    <w:rsid w:val="00396837"/>
    <w:rsid w:val="003A38D5"/>
    <w:rsid w:val="003B04BF"/>
    <w:rsid w:val="003B210E"/>
    <w:rsid w:val="003B6665"/>
    <w:rsid w:val="003D42D7"/>
    <w:rsid w:val="003E3AF0"/>
    <w:rsid w:val="003F352B"/>
    <w:rsid w:val="0040570D"/>
    <w:rsid w:val="00405CC1"/>
    <w:rsid w:val="00407A2F"/>
    <w:rsid w:val="00427292"/>
    <w:rsid w:val="0043493E"/>
    <w:rsid w:val="004360D0"/>
    <w:rsid w:val="00437C08"/>
    <w:rsid w:val="004509D4"/>
    <w:rsid w:val="00452746"/>
    <w:rsid w:val="00454900"/>
    <w:rsid w:val="00454F46"/>
    <w:rsid w:val="00476FAE"/>
    <w:rsid w:val="0048073E"/>
    <w:rsid w:val="00487174"/>
    <w:rsid w:val="00490C30"/>
    <w:rsid w:val="0049422D"/>
    <w:rsid w:val="004A1C91"/>
    <w:rsid w:val="004A366C"/>
    <w:rsid w:val="004A4145"/>
    <w:rsid w:val="004A4A3C"/>
    <w:rsid w:val="004B4B01"/>
    <w:rsid w:val="004B7585"/>
    <w:rsid w:val="004B7ABC"/>
    <w:rsid w:val="004C5374"/>
    <w:rsid w:val="004D2BA4"/>
    <w:rsid w:val="004E62CB"/>
    <w:rsid w:val="004E62F5"/>
    <w:rsid w:val="004F1568"/>
    <w:rsid w:val="004F36D8"/>
    <w:rsid w:val="005013D5"/>
    <w:rsid w:val="00511E36"/>
    <w:rsid w:val="005133DE"/>
    <w:rsid w:val="0052436C"/>
    <w:rsid w:val="00525193"/>
    <w:rsid w:val="005340B9"/>
    <w:rsid w:val="005418F3"/>
    <w:rsid w:val="005467E9"/>
    <w:rsid w:val="00552DFF"/>
    <w:rsid w:val="00562999"/>
    <w:rsid w:val="005835A5"/>
    <w:rsid w:val="005A479E"/>
    <w:rsid w:val="005A715D"/>
    <w:rsid w:val="005B36D0"/>
    <w:rsid w:val="005B421C"/>
    <w:rsid w:val="005B4A05"/>
    <w:rsid w:val="005B4C30"/>
    <w:rsid w:val="005B69D0"/>
    <w:rsid w:val="005B7B28"/>
    <w:rsid w:val="005C7B8C"/>
    <w:rsid w:val="005D4BF9"/>
    <w:rsid w:val="005D7807"/>
    <w:rsid w:val="005E5678"/>
    <w:rsid w:val="005F641F"/>
    <w:rsid w:val="006021AB"/>
    <w:rsid w:val="006123FF"/>
    <w:rsid w:val="00613188"/>
    <w:rsid w:val="0061333A"/>
    <w:rsid w:val="006133C1"/>
    <w:rsid w:val="00615C7F"/>
    <w:rsid w:val="00615D07"/>
    <w:rsid w:val="00623DAA"/>
    <w:rsid w:val="00641031"/>
    <w:rsid w:val="006431BF"/>
    <w:rsid w:val="00686BE1"/>
    <w:rsid w:val="00695D1D"/>
    <w:rsid w:val="00696BD6"/>
    <w:rsid w:val="006B26A7"/>
    <w:rsid w:val="006C5872"/>
    <w:rsid w:val="006C64E6"/>
    <w:rsid w:val="006C6FC0"/>
    <w:rsid w:val="006D08E8"/>
    <w:rsid w:val="006D172B"/>
    <w:rsid w:val="006E6D60"/>
    <w:rsid w:val="006F2DF8"/>
    <w:rsid w:val="006F58CD"/>
    <w:rsid w:val="0070116F"/>
    <w:rsid w:val="00710755"/>
    <w:rsid w:val="0071420E"/>
    <w:rsid w:val="00715CF3"/>
    <w:rsid w:val="00716369"/>
    <w:rsid w:val="007236F8"/>
    <w:rsid w:val="00726C57"/>
    <w:rsid w:val="00741A5F"/>
    <w:rsid w:val="0074259E"/>
    <w:rsid w:val="0074388C"/>
    <w:rsid w:val="00743AA6"/>
    <w:rsid w:val="00744DCE"/>
    <w:rsid w:val="00744FEB"/>
    <w:rsid w:val="00754B50"/>
    <w:rsid w:val="00765BEA"/>
    <w:rsid w:val="00766B17"/>
    <w:rsid w:val="007718AA"/>
    <w:rsid w:val="0077798B"/>
    <w:rsid w:val="007848FA"/>
    <w:rsid w:val="00786BA0"/>
    <w:rsid w:val="00787340"/>
    <w:rsid w:val="007915C5"/>
    <w:rsid w:val="00794A24"/>
    <w:rsid w:val="00796C44"/>
    <w:rsid w:val="007A7FC9"/>
    <w:rsid w:val="007B360C"/>
    <w:rsid w:val="007B6224"/>
    <w:rsid w:val="007C018D"/>
    <w:rsid w:val="007C4D21"/>
    <w:rsid w:val="007D3443"/>
    <w:rsid w:val="007D38ED"/>
    <w:rsid w:val="007D76C5"/>
    <w:rsid w:val="007E4051"/>
    <w:rsid w:val="007E7FBF"/>
    <w:rsid w:val="007F0A39"/>
    <w:rsid w:val="007F1796"/>
    <w:rsid w:val="007F18BF"/>
    <w:rsid w:val="00803416"/>
    <w:rsid w:val="0080393B"/>
    <w:rsid w:val="008110C1"/>
    <w:rsid w:val="00833E93"/>
    <w:rsid w:val="00837E7F"/>
    <w:rsid w:val="008421F3"/>
    <w:rsid w:val="0084256A"/>
    <w:rsid w:val="008427A2"/>
    <w:rsid w:val="00847689"/>
    <w:rsid w:val="00851D67"/>
    <w:rsid w:val="00856948"/>
    <w:rsid w:val="008649FD"/>
    <w:rsid w:val="00874977"/>
    <w:rsid w:val="0088177F"/>
    <w:rsid w:val="00883A7C"/>
    <w:rsid w:val="00884EFC"/>
    <w:rsid w:val="00885000"/>
    <w:rsid w:val="008864C4"/>
    <w:rsid w:val="00892D08"/>
    <w:rsid w:val="008950BF"/>
    <w:rsid w:val="00896A7B"/>
    <w:rsid w:val="008A10F9"/>
    <w:rsid w:val="008A1AE8"/>
    <w:rsid w:val="008A4B8A"/>
    <w:rsid w:val="008B3797"/>
    <w:rsid w:val="008D0564"/>
    <w:rsid w:val="008D5409"/>
    <w:rsid w:val="008D632A"/>
    <w:rsid w:val="008D6ED5"/>
    <w:rsid w:val="008D7EB5"/>
    <w:rsid w:val="008E4118"/>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12D0"/>
    <w:rsid w:val="00973CB8"/>
    <w:rsid w:val="0098037E"/>
    <w:rsid w:val="00992262"/>
    <w:rsid w:val="009A509B"/>
    <w:rsid w:val="009A7748"/>
    <w:rsid w:val="009B2304"/>
    <w:rsid w:val="009B2612"/>
    <w:rsid w:val="009B4E9D"/>
    <w:rsid w:val="009B5D0D"/>
    <w:rsid w:val="009C19E7"/>
    <w:rsid w:val="009D089E"/>
    <w:rsid w:val="009E182B"/>
    <w:rsid w:val="009E38EF"/>
    <w:rsid w:val="009E7002"/>
    <w:rsid w:val="009F468D"/>
    <w:rsid w:val="009F7AF4"/>
    <w:rsid w:val="00A03340"/>
    <w:rsid w:val="00A44162"/>
    <w:rsid w:val="00A445FB"/>
    <w:rsid w:val="00A54986"/>
    <w:rsid w:val="00A56013"/>
    <w:rsid w:val="00A65822"/>
    <w:rsid w:val="00A7442B"/>
    <w:rsid w:val="00A7616E"/>
    <w:rsid w:val="00A81E5E"/>
    <w:rsid w:val="00A82D92"/>
    <w:rsid w:val="00AA0C50"/>
    <w:rsid w:val="00AA46B4"/>
    <w:rsid w:val="00AB5932"/>
    <w:rsid w:val="00AC2105"/>
    <w:rsid w:val="00AD325D"/>
    <w:rsid w:val="00AD743E"/>
    <w:rsid w:val="00AE61B3"/>
    <w:rsid w:val="00AF16E5"/>
    <w:rsid w:val="00AF2D81"/>
    <w:rsid w:val="00B0422D"/>
    <w:rsid w:val="00B162CE"/>
    <w:rsid w:val="00B316B8"/>
    <w:rsid w:val="00B52453"/>
    <w:rsid w:val="00B54353"/>
    <w:rsid w:val="00B671F8"/>
    <w:rsid w:val="00B7587B"/>
    <w:rsid w:val="00B879BC"/>
    <w:rsid w:val="00B87A0B"/>
    <w:rsid w:val="00B925AE"/>
    <w:rsid w:val="00B96AF6"/>
    <w:rsid w:val="00BA0549"/>
    <w:rsid w:val="00BA1717"/>
    <w:rsid w:val="00BA578B"/>
    <w:rsid w:val="00BA6C4D"/>
    <w:rsid w:val="00BB3BD2"/>
    <w:rsid w:val="00BB618C"/>
    <w:rsid w:val="00BC06C9"/>
    <w:rsid w:val="00BC1F9F"/>
    <w:rsid w:val="00BC3494"/>
    <w:rsid w:val="00BD0F91"/>
    <w:rsid w:val="00BE276D"/>
    <w:rsid w:val="00BF1ADF"/>
    <w:rsid w:val="00BF2C3D"/>
    <w:rsid w:val="00BF364A"/>
    <w:rsid w:val="00BF68C8"/>
    <w:rsid w:val="00BF6E08"/>
    <w:rsid w:val="00C03671"/>
    <w:rsid w:val="00C0507A"/>
    <w:rsid w:val="00C15B81"/>
    <w:rsid w:val="00C418E6"/>
    <w:rsid w:val="00C5082E"/>
    <w:rsid w:val="00C65AF8"/>
    <w:rsid w:val="00C70D9C"/>
    <w:rsid w:val="00C734DB"/>
    <w:rsid w:val="00C82F73"/>
    <w:rsid w:val="00C85D1D"/>
    <w:rsid w:val="00C8727A"/>
    <w:rsid w:val="00C943F6"/>
    <w:rsid w:val="00CA0815"/>
    <w:rsid w:val="00CA0D46"/>
    <w:rsid w:val="00CE0A6A"/>
    <w:rsid w:val="00CE2CED"/>
    <w:rsid w:val="00CE4B57"/>
    <w:rsid w:val="00CF1322"/>
    <w:rsid w:val="00CF1898"/>
    <w:rsid w:val="00D0583A"/>
    <w:rsid w:val="00D07C32"/>
    <w:rsid w:val="00D11A39"/>
    <w:rsid w:val="00D1401F"/>
    <w:rsid w:val="00D24326"/>
    <w:rsid w:val="00D262D2"/>
    <w:rsid w:val="00D26A27"/>
    <w:rsid w:val="00D270B7"/>
    <w:rsid w:val="00D425EF"/>
    <w:rsid w:val="00D5060B"/>
    <w:rsid w:val="00D512C8"/>
    <w:rsid w:val="00D62669"/>
    <w:rsid w:val="00D71907"/>
    <w:rsid w:val="00D72921"/>
    <w:rsid w:val="00D738DC"/>
    <w:rsid w:val="00D738E0"/>
    <w:rsid w:val="00D7768C"/>
    <w:rsid w:val="00D803B6"/>
    <w:rsid w:val="00D847CE"/>
    <w:rsid w:val="00DA0124"/>
    <w:rsid w:val="00DA427A"/>
    <w:rsid w:val="00DA69B1"/>
    <w:rsid w:val="00DA785C"/>
    <w:rsid w:val="00DB35CA"/>
    <w:rsid w:val="00DB41E1"/>
    <w:rsid w:val="00DB577A"/>
    <w:rsid w:val="00DC1C45"/>
    <w:rsid w:val="00DC1EAF"/>
    <w:rsid w:val="00DC6B15"/>
    <w:rsid w:val="00DD3315"/>
    <w:rsid w:val="00DD5680"/>
    <w:rsid w:val="00DE2BAD"/>
    <w:rsid w:val="00DE46A7"/>
    <w:rsid w:val="00E02163"/>
    <w:rsid w:val="00E0398A"/>
    <w:rsid w:val="00E13E96"/>
    <w:rsid w:val="00E166AA"/>
    <w:rsid w:val="00E17493"/>
    <w:rsid w:val="00E20FCF"/>
    <w:rsid w:val="00E37126"/>
    <w:rsid w:val="00E4072F"/>
    <w:rsid w:val="00E45E23"/>
    <w:rsid w:val="00E50B05"/>
    <w:rsid w:val="00E5329F"/>
    <w:rsid w:val="00E53569"/>
    <w:rsid w:val="00E610E7"/>
    <w:rsid w:val="00E77E87"/>
    <w:rsid w:val="00E86DBB"/>
    <w:rsid w:val="00E93EFE"/>
    <w:rsid w:val="00E962FB"/>
    <w:rsid w:val="00E965D0"/>
    <w:rsid w:val="00EA149F"/>
    <w:rsid w:val="00EB0457"/>
    <w:rsid w:val="00EC08C4"/>
    <w:rsid w:val="00EC719E"/>
    <w:rsid w:val="00ED4605"/>
    <w:rsid w:val="00ED717D"/>
    <w:rsid w:val="00EE3FD8"/>
    <w:rsid w:val="00EF360A"/>
    <w:rsid w:val="00EF4C92"/>
    <w:rsid w:val="00F064DE"/>
    <w:rsid w:val="00F16E4A"/>
    <w:rsid w:val="00F24D66"/>
    <w:rsid w:val="00F26065"/>
    <w:rsid w:val="00F508E7"/>
    <w:rsid w:val="00F50C08"/>
    <w:rsid w:val="00F608A5"/>
    <w:rsid w:val="00F703FF"/>
    <w:rsid w:val="00F74267"/>
    <w:rsid w:val="00F746C6"/>
    <w:rsid w:val="00F74A36"/>
    <w:rsid w:val="00F75174"/>
    <w:rsid w:val="00F848F1"/>
    <w:rsid w:val="00F90545"/>
    <w:rsid w:val="00F92F5F"/>
    <w:rsid w:val="00F96D47"/>
    <w:rsid w:val="00F97368"/>
    <w:rsid w:val="00FA71A1"/>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F4F5D"/>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D54B-325C-4B2A-87C2-9077A15C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6</cp:revision>
  <cp:lastPrinted>2020-05-18T04:00:00Z</cp:lastPrinted>
  <dcterms:created xsi:type="dcterms:W3CDTF">2020-05-18T03:19:00Z</dcterms:created>
  <dcterms:modified xsi:type="dcterms:W3CDTF">2020-05-18T05:32:00Z</dcterms:modified>
</cp:coreProperties>
</file>